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13" w:rsidRDefault="00F32C13" w:rsidP="00F32C13">
      <w:pPr>
        <w:spacing w:after="0" w:line="240" w:lineRule="auto"/>
        <w:rPr>
          <w:rFonts w:ascii="Times New Roman" w:eastAsia="Times New Roman" w:hAnsi="Times New Roman" w:cs="Times New Roman"/>
          <w:b/>
          <w:color w:val="0070C0"/>
          <w:sz w:val="16"/>
          <w:szCs w:val="16"/>
          <w:lang w:eastAsia="ru-RU"/>
        </w:rPr>
      </w:pPr>
      <w:bookmarkStart w:id="0" w:name="_GoBack"/>
      <w:bookmarkEnd w:id="0"/>
      <w:r w:rsidRPr="00F32C13">
        <w:rPr>
          <w:rFonts w:ascii="Times New Roman" w:eastAsia="Times New Roman" w:hAnsi="Times New Roman" w:cs="Times New Roman"/>
          <w:b/>
          <w:color w:val="0070C0"/>
          <w:sz w:val="16"/>
          <w:szCs w:val="16"/>
          <w:lang w:eastAsia="ru-RU"/>
        </w:rPr>
        <w:t xml:space="preserve">Опубликовано на сайте ГК «АСВ» </w:t>
      </w:r>
      <w:r w:rsidRPr="00F32C13">
        <w:rPr>
          <w:rFonts w:ascii="Times New Roman" w:eastAsia="Times New Roman" w:hAnsi="Times New Roman" w:cs="Times New Roman"/>
          <w:b/>
          <w:color w:val="0070C0"/>
          <w:sz w:val="16"/>
          <w:szCs w:val="16"/>
          <w:lang w:eastAsia="ru-RU"/>
        </w:rPr>
        <w:t>10.04.2019</w:t>
      </w:r>
    </w:p>
    <w:p w:rsidR="00F32C13" w:rsidRPr="00F32C13" w:rsidRDefault="00F32C13" w:rsidP="00F32C13">
      <w:pPr>
        <w:spacing w:after="0" w:line="240" w:lineRule="auto"/>
        <w:rPr>
          <w:rFonts w:ascii="Times New Roman" w:eastAsia="Times New Roman" w:hAnsi="Times New Roman" w:cs="Times New Roman"/>
          <w:b/>
          <w:color w:val="0070C0"/>
          <w:sz w:val="16"/>
          <w:szCs w:val="16"/>
          <w:lang w:eastAsia="ru-RU"/>
        </w:rPr>
      </w:pPr>
    </w:p>
    <w:p w:rsidR="00F32C13" w:rsidRDefault="00F32C13" w:rsidP="00F32C13">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F32C13">
        <w:rPr>
          <w:rFonts w:ascii="Times New Roman" w:eastAsia="Times New Roman" w:hAnsi="Times New Roman" w:cs="Times New Roman"/>
          <w:b/>
          <w:bCs/>
          <w:color w:val="000000"/>
          <w:kern w:val="36"/>
          <w:sz w:val="28"/>
          <w:szCs w:val="28"/>
          <w:lang w:eastAsia="ru-RU"/>
        </w:rPr>
        <w:t xml:space="preserve">Сведения о ходе конкурсного производства в отношении </w:t>
      </w:r>
    </w:p>
    <w:p w:rsidR="00F32C13" w:rsidRPr="00F32C13" w:rsidRDefault="00F32C13" w:rsidP="00F32C13">
      <w:pPr>
        <w:spacing w:after="0" w:line="240" w:lineRule="auto"/>
        <w:jc w:val="center"/>
        <w:outlineLvl w:val="0"/>
        <w:rPr>
          <w:rFonts w:ascii="Times New Roman" w:eastAsia="Times New Roman" w:hAnsi="Times New Roman" w:cs="Times New Roman"/>
          <w:b/>
          <w:color w:val="000000"/>
          <w:sz w:val="28"/>
          <w:szCs w:val="28"/>
          <w:lang w:eastAsia="ru-RU"/>
        </w:rPr>
      </w:pPr>
      <w:r w:rsidRPr="00F32C13">
        <w:rPr>
          <w:rFonts w:ascii="Times New Roman" w:eastAsia="Times New Roman" w:hAnsi="Times New Roman" w:cs="Times New Roman"/>
          <w:b/>
          <w:color w:val="000000"/>
          <w:sz w:val="28"/>
          <w:szCs w:val="28"/>
          <w:lang w:eastAsia="ru-RU"/>
        </w:rPr>
        <w:t>АО «Тагилбанк»</w:t>
      </w:r>
    </w:p>
    <w:p w:rsidR="00F32C13" w:rsidRPr="00F32C13" w:rsidRDefault="00F32C13" w:rsidP="00F32C13">
      <w:pPr>
        <w:spacing w:after="0" w:line="240" w:lineRule="auto"/>
        <w:outlineLvl w:val="0"/>
        <w:rPr>
          <w:rFonts w:ascii="Times New Roman" w:eastAsia="Times New Roman" w:hAnsi="Times New Roman" w:cs="Times New Roman"/>
          <w:b/>
          <w:bCs/>
          <w:color w:val="000000"/>
          <w:kern w:val="36"/>
          <w:sz w:val="26"/>
          <w:szCs w:val="26"/>
          <w:lang w:eastAsia="ru-RU"/>
        </w:rPr>
      </w:pP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Решением Арбитражного суда Свердловской области от 10 октября 2018 г. (дата объявления резолютивной части – 3 октября 2018 г.) по делу № А60-51084/2018 Акционерное общество «Тагилбанк» (АО «Тагилбанк», далее – Банк, ОГРН 1036605604078, ИНН 6623002060, адрес регистрации: 622001, Свердловская область, г. Нижний Тагил, ул. Ломоносова, д. 2А,), признан несостоятельным (банкротом) и в отношении него открыто конкурсное производство сроком на один год.</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Постановлением Семнадцатого арбитражного апелляционного суда от 17 января 2019 г. (дата объявления резолютивной части – 14 января 2019 г.) решение Арбитражного суда Свердловской области от 10 октября 2018 г. по делу № А60-51084/2018 отменено. Одновременно судом апелляционной инстанции принят новый судебный акт о признании Банка несостоятельным (банкротом) и открытии в отношении него процедуры конкурсного производства сроком на один год. Функции конкурсного управляющего возложены на государственную корпорацию «Агентство по страхованию вкладов» (далее – Агентство), расположенную по адресу: 109240, г. Москва, ул. Высоцкого, д. 4.</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Судебное заседание по рассмотрению отчета конкурсного управляющего не назначено.</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Адрес для направления почтовой корреспонденции, в том числе требований кредиторов: 620144, г. Екатеринбург, ул. Куйбышева, д. 12.</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В соответствии с требованиями Федерального закона от 26 октября 2002 г. № 127-ФЗ «О несостоятельности (банкротстве)» (далее – Федеральный закон) Агентство публикует сведения о ходе конкурсного производства в отношении Банка. Последняя информация о ходе конкурсного производства включена в Единый федеральный реестр сведений о банкротстве (далее – ЕФРСБ) и размещена на сайте Агентства в сети Интернет 2 ноября 2018 г.</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Конкурсным управляющим в период с 22 февраля по 30 апреля 2019 г. осуществляются расчеты с кредиторами первой очереди, требования которых включены в реестр требований кредиторов Банка (далее – Реестр), в размере 48,92% суммы установленных требований. По состоянию на 1 марта 2019 г. на расчеты с кредиторами первой очереди, требования которых включены в Реестр, направлены денежные средства в размере 439 757 тыс. руб.</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Конкурсным управляющим 9 января 2019 г. завершена инвентаризация имущества Банка, проведенная по состоянию на дату открытия процедуры конкурсного производства (3 октября 2018 г.), итоги которой размещены на сайте Агентства в сети Интернет и включены в ЕФРСБ 14 января 2019 г. По результатам инвентаризации выявлена недостача имущества Банка на сумму 10 536 тыс. руб. Также в ходе проведения инвентаризации выявлено имущество (оргтехника, мебель, банковское оборудование), неучтенное на балансовых счетах Банка в количестве 1 123 единицы.</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В период с 3 октября 2018 г. по 28 февраля 2019 г. списание имущества Банка не осуществлялось, реализация не проводилась.</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 xml:space="preserve">В рамках работы по взысканию ссудной и дебиторской задолженности с должников Банка до даты открытия процедуры конкурсного производства в суды предъявлено 339 исковых заявлений на общую сумму 179 530 тыс. руб., в том числе 3 заявления о включении требований Банка в реестры требований </w:t>
      </w:r>
      <w:r w:rsidRPr="00F32C13">
        <w:rPr>
          <w:rFonts w:ascii="Times New Roman" w:eastAsia="Times New Roman" w:hAnsi="Times New Roman" w:cs="Times New Roman"/>
          <w:color w:val="000000"/>
          <w:sz w:val="26"/>
          <w:szCs w:val="26"/>
          <w:lang w:eastAsia="ru-RU"/>
        </w:rPr>
        <w:lastRenderedPageBreak/>
        <w:t>кредиторов должников-банкротов на сумму 15 654 тыс. руб. По состоянию на 1 марта 2019 г. удовлетворено в полном объеме 337 исковых заявлений на общую сумму 177 195 тыс. руб. (в том числе 3 заявления о включении требований Банка в реестры требований кредиторов должников-банкротов на сумму 15 654 тыс. руб.), и частично 2 исковых заявления на общую сумму 2 335 тыс. руб.</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На основании вступивших в законную силу судебных актов возбуждено</w:t>
      </w:r>
      <w:r w:rsidRPr="00F32C13">
        <w:rPr>
          <w:rFonts w:ascii="Times New Roman" w:eastAsia="Times New Roman" w:hAnsi="Times New Roman" w:cs="Times New Roman"/>
          <w:color w:val="0070C0"/>
          <w:sz w:val="26"/>
          <w:szCs w:val="26"/>
          <w:lang w:eastAsia="ru-RU"/>
        </w:rPr>
        <w:t xml:space="preserve"> </w:t>
      </w:r>
      <w:r w:rsidRPr="00F32C13">
        <w:rPr>
          <w:rFonts w:ascii="Times New Roman" w:eastAsia="Times New Roman" w:hAnsi="Times New Roman" w:cs="Times New Roman"/>
          <w:color w:val="000000"/>
          <w:sz w:val="26"/>
          <w:szCs w:val="26"/>
          <w:lang w:eastAsia="ru-RU"/>
        </w:rPr>
        <w:t>171 исполнительное производство на общую сумму 104 984 тыс. руб. (в том числе 156 исполнительных производств возбуждены до даты открытия процедуры конкурсного производства на общую сумму 103 587 тыс. руб.), из которых 1 исполнительное производство на сумму 54 тыс. руб. завершено актом о невозможности взыскания задолженности.</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По состоянию на 1 марта 2019 г. в результате исковой работы в конкурсную массу Банка поступили денежные средства в размере 310 тыс. руб.</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С целью выявления сомнительных сделок, совершенных Банком в преддверии банкротства, и имеющих в соответствии с законодательством признаки недействительности, проводится анализ заключенных Банком договоров банковского счета, депозитных, кредитных договоров и договоров купли – продажи на предмет их соответствия требованиям закона, а также коммерческой целесообразности.</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Конкурсным управляющим проводится проверка обстоятельств банкротства Банка, по результатам которой, в случае обнаружения соответствующих обстоятельств, будут приняты меры по привлечению к гражданско-правовой и/или уголовной ответственности лиц, виновных в банкротстве Банка.</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10 августа 2018 г. Банком в прокуратуру Ленинского района г. Нижнего Тагила направлено заявление по ч. 4 ст. 160 УК РФ по факту хищения имущества Банка под видом выплаты вознаграждений членам правления Банка. 15 августа 2018 г. СУ МУ МВД России «Нижнетагильское» возбуждено уголовное дело по признакам преступления, предусмотренного ч. 1 ст. 201 УК РФ в отношении неустановленных лиц по факту хищения денежных средств Банка. Банк признан потерпевшим по уголовному делу.</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16 июля 2018 г. в МУ МВД России «Нижнетагильское» направлено заявление Банка по факту хищения имущества Банка под видом заключения сделки купли-продажи недвижимого имущества. 18 июля 2018 г. СУ МУ МВД России «Нижнетагильское» возбуждено уголовное дело по признакам преступления, предусмотренного ч. 4 ст. 160 УК РФ в отношении неустановленных лиц по факту хищения имущества Банка. Банк признан потерпевшим по уголовному делу. Уголовные дела соединены в одно производство. Предварительное следствие по делу продолжается.</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10 августа 2018 г. в Отдел полиции № 16 Межмуниципального управления МВД России «Нижнетагильское» направлено заявление временной администрации по управлению кредитной организацией (далее – временная администрация) по факту не передачи договоров залога и протоколов заседаний правления Банка. 10 декабря 2018 г. в Отдел полиции № 16 Межмуниципального управления МВД России «Нижнетагильское» направлен запрос о результатах рассмотрения заявления временной администрации.</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 xml:space="preserve">15 февраля 2019 г. в отдел полиции №16 Межмуниципального управления МВД России «Нижнетагильское» направлено заявление Агентства по факту неправомерных действий лиц, содержащих признаки преступления, предусмотренного ч. 1 ст. 201 УК РФ, выразившиеся в реализации недвижимого имущества Банка по заниженной стоимости. 21 февраля 2019 г. СУ МУ МВД </w:t>
      </w:r>
      <w:r w:rsidRPr="00F32C13">
        <w:rPr>
          <w:rFonts w:ascii="Times New Roman" w:eastAsia="Times New Roman" w:hAnsi="Times New Roman" w:cs="Times New Roman"/>
          <w:color w:val="000000"/>
          <w:sz w:val="26"/>
          <w:szCs w:val="26"/>
          <w:lang w:eastAsia="ru-RU"/>
        </w:rPr>
        <w:lastRenderedPageBreak/>
        <w:t>«Нижнетагильское» по заявлению Агентства возбуждено уголовное дело по факту преступления, предусмотренного ч. 1 ст. 201 УК РФ.</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7 февраля 2019 г. Заместителю Министра внутренних дел Российской Федерации-начальнику Следственного Департамента Министерства внутренних дел Российской Федерации Банком России направлено заявление по факту неправомерных действий лиц, содержащих признаки преступления, предусмотренных ч. 4 ст. 159 УК РФ, в результате осуществления операций последними по кредитованию неплатежеспособных заемщиков и продажи недвижимости.</w:t>
      </w:r>
    </w:p>
    <w:p w:rsidR="00F32C13" w:rsidRPr="00F32C13" w:rsidRDefault="00F32C13" w:rsidP="00F32C13">
      <w:pPr>
        <w:spacing w:after="0" w:line="240" w:lineRule="auto"/>
        <w:ind w:firstLine="709"/>
        <w:jc w:val="both"/>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color w:val="000000"/>
          <w:sz w:val="26"/>
          <w:szCs w:val="26"/>
          <w:lang w:eastAsia="ru-RU"/>
        </w:rPr>
        <w:t>В соответствии с п. 7 ст. 189.75 Федерального закона Агентство публикует сведения о стоимости нереализованного имущества Банка и об исполнении сметы текущих расходов.</w:t>
      </w:r>
    </w:p>
    <w:p w:rsidR="00F32C13" w:rsidRDefault="00F32C13" w:rsidP="00F32C13">
      <w:pPr>
        <w:spacing w:after="0" w:line="240" w:lineRule="auto"/>
        <w:jc w:val="center"/>
        <w:rPr>
          <w:rFonts w:ascii="Times New Roman" w:eastAsia="Times New Roman" w:hAnsi="Times New Roman" w:cs="Times New Roman"/>
          <w:b/>
          <w:bCs/>
          <w:color w:val="000000"/>
          <w:sz w:val="26"/>
          <w:szCs w:val="26"/>
          <w:lang w:eastAsia="ru-RU"/>
        </w:rPr>
      </w:pPr>
    </w:p>
    <w:p w:rsidR="00F32C13" w:rsidRDefault="00F32C13" w:rsidP="00F32C13">
      <w:pPr>
        <w:spacing w:after="0" w:line="240" w:lineRule="auto"/>
        <w:jc w:val="center"/>
        <w:rPr>
          <w:rFonts w:ascii="Times New Roman" w:eastAsia="Times New Roman" w:hAnsi="Times New Roman" w:cs="Times New Roman"/>
          <w:b/>
          <w:bCs/>
          <w:color w:val="000000"/>
          <w:sz w:val="26"/>
          <w:szCs w:val="26"/>
          <w:lang w:eastAsia="ru-RU"/>
        </w:rPr>
      </w:pPr>
      <w:r w:rsidRPr="00F32C13">
        <w:rPr>
          <w:rFonts w:ascii="Times New Roman" w:eastAsia="Times New Roman" w:hAnsi="Times New Roman" w:cs="Times New Roman"/>
          <w:b/>
          <w:bCs/>
          <w:color w:val="000000"/>
          <w:sz w:val="26"/>
          <w:szCs w:val="26"/>
          <w:lang w:eastAsia="ru-RU"/>
        </w:rPr>
        <w:t xml:space="preserve">Сведения о стоимости нереализованного имущества АО «Тагилбанк» </w:t>
      </w:r>
    </w:p>
    <w:p w:rsidR="00F32C13" w:rsidRPr="00F32C13" w:rsidRDefault="00F32C13" w:rsidP="00F32C13">
      <w:pPr>
        <w:spacing w:after="0" w:line="240" w:lineRule="auto"/>
        <w:jc w:val="center"/>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b/>
          <w:bCs/>
          <w:color w:val="000000"/>
          <w:sz w:val="26"/>
          <w:szCs w:val="26"/>
          <w:lang w:eastAsia="ru-RU"/>
        </w:rPr>
        <w:t>по состоянию на 1 марта 2019 г.</w:t>
      </w:r>
    </w:p>
    <w:p w:rsidR="00F32C13" w:rsidRPr="00F32C13" w:rsidRDefault="00F32C13" w:rsidP="00F32C13">
      <w:pPr>
        <w:spacing w:after="0" w:line="240" w:lineRule="auto"/>
        <w:jc w:val="right"/>
        <w:rPr>
          <w:rFonts w:ascii="Times New Roman" w:eastAsia="Times New Roman" w:hAnsi="Times New Roman" w:cs="Times New Roman"/>
          <w:color w:val="000000"/>
          <w:lang w:eastAsia="ru-RU"/>
        </w:rPr>
      </w:pPr>
      <w:r w:rsidRPr="00F32C13">
        <w:rPr>
          <w:rFonts w:ascii="Times New Roman" w:eastAsia="Times New Roman" w:hAnsi="Times New Roman" w:cs="Times New Roman"/>
          <w:b/>
          <w:bCs/>
          <w:color w:val="000000"/>
          <w:lang w:eastAsia="ru-RU"/>
        </w:rPr>
        <w:t>(тыс. руб.)</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07"/>
        <w:gridCol w:w="4851"/>
        <w:gridCol w:w="1985"/>
        <w:gridCol w:w="2072"/>
      </w:tblGrid>
      <w:tr w:rsidR="00F32C13" w:rsidRPr="00F32C13" w:rsidTr="00F32C13">
        <w:trPr>
          <w:tblCellSpacing w:w="20" w:type="dxa"/>
        </w:trPr>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b/>
                <w:bCs/>
                <w:color w:val="000000"/>
                <w:lang w:eastAsia="ru-RU"/>
              </w:rPr>
              <w:t>№ п/п</w:t>
            </w:r>
          </w:p>
        </w:tc>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b/>
                <w:bCs/>
                <w:color w:val="000000"/>
                <w:lang w:eastAsia="ru-RU"/>
              </w:rPr>
              <w:t>Наименование имущества (дебитора)</w:t>
            </w:r>
          </w:p>
        </w:tc>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b/>
                <w:bCs/>
                <w:color w:val="000000"/>
                <w:lang w:eastAsia="ru-RU"/>
              </w:rPr>
              <w:t>Балансовая стоимость</w:t>
            </w:r>
          </w:p>
        </w:tc>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b/>
                <w:bCs/>
                <w:color w:val="000000"/>
                <w:lang w:eastAsia="ru-RU"/>
              </w:rPr>
              <w:t>Оценочная стоимость</w:t>
            </w:r>
          </w:p>
        </w:tc>
      </w:tr>
      <w:tr w:rsidR="00F32C13" w:rsidRPr="00F32C13" w:rsidTr="00F32C13">
        <w:trPr>
          <w:tblCellSpacing w:w="20" w:type="dxa"/>
        </w:trPr>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1</w:t>
            </w:r>
          </w:p>
        </w:tc>
        <w:tc>
          <w:tcPr>
            <w:tcW w:w="0" w:type="auto"/>
            <w:tcMar>
              <w:top w:w="75" w:type="dxa"/>
              <w:left w:w="75" w:type="dxa"/>
              <w:bottom w:w="75" w:type="dxa"/>
              <w:right w:w="75" w:type="dxa"/>
            </w:tcMar>
            <w:vAlign w:val="center"/>
            <w:hideMark/>
          </w:tcPr>
          <w:p w:rsidR="00F32C13" w:rsidRPr="00F32C13" w:rsidRDefault="00F32C13" w:rsidP="00812666">
            <w:pPr>
              <w:spacing w:after="0" w:line="240" w:lineRule="auto"/>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Кредиты предприятиям и организациям</w:t>
            </w:r>
          </w:p>
        </w:tc>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262 477**</w:t>
            </w:r>
          </w:p>
        </w:tc>
        <w:tc>
          <w:tcPr>
            <w:tcW w:w="0" w:type="auto"/>
            <w:vMerge w:val="restart"/>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оценка не проводилась*</w:t>
            </w:r>
          </w:p>
        </w:tc>
      </w:tr>
      <w:tr w:rsidR="00F32C13" w:rsidRPr="00F32C13" w:rsidTr="00F32C13">
        <w:trPr>
          <w:tblCellSpacing w:w="20" w:type="dxa"/>
        </w:trPr>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2</w:t>
            </w:r>
          </w:p>
        </w:tc>
        <w:tc>
          <w:tcPr>
            <w:tcW w:w="0" w:type="auto"/>
            <w:tcMar>
              <w:top w:w="75" w:type="dxa"/>
              <w:left w:w="75" w:type="dxa"/>
              <w:bottom w:w="75" w:type="dxa"/>
              <w:right w:w="75" w:type="dxa"/>
            </w:tcMar>
            <w:vAlign w:val="center"/>
            <w:hideMark/>
          </w:tcPr>
          <w:p w:rsidR="00F32C13" w:rsidRPr="00F32C13" w:rsidRDefault="00F32C13" w:rsidP="00812666">
            <w:pPr>
              <w:spacing w:after="0" w:line="240" w:lineRule="auto"/>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Кредиты физическим лицам</w:t>
            </w:r>
          </w:p>
        </w:tc>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143 902**</w:t>
            </w:r>
          </w:p>
        </w:tc>
        <w:tc>
          <w:tcPr>
            <w:tcW w:w="0" w:type="auto"/>
            <w:vMerge/>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p>
        </w:tc>
      </w:tr>
      <w:tr w:rsidR="00F32C13" w:rsidRPr="00F32C13" w:rsidTr="00F32C13">
        <w:trPr>
          <w:tblCellSpacing w:w="20" w:type="dxa"/>
        </w:trPr>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3</w:t>
            </w:r>
          </w:p>
        </w:tc>
        <w:tc>
          <w:tcPr>
            <w:tcW w:w="0" w:type="auto"/>
            <w:tcMar>
              <w:top w:w="75" w:type="dxa"/>
              <w:left w:w="75" w:type="dxa"/>
              <w:bottom w:w="75" w:type="dxa"/>
              <w:right w:w="75" w:type="dxa"/>
            </w:tcMar>
            <w:vAlign w:val="center"/>
            <w:hideMark/>
          </w:tcPr>
          <w:p w:rsidR="00F32C13" w:rsidRPr="00F32C13" w:rsidRDefault="00F32C13" w:rsidP="00812666">
            <w:pPr>
              <w:spacing w:after="0" w:line="240" w:lineRule="auto"/>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Основные средства и хозяйственные затраты (за исключением амортизации)</w:t>
            </w:r>
          </w:p>
        </w:tc>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359 864</w:t>
            </w:r>
          </w:p>
        </w:tc>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243 394***</w:t>
            </w:r>
          </w:p>
        </w:tc>
      </w:tr>
      <w:tr w:rsidR="00F32C13" w:rsidRPr="00F32C13" w:rsidTr="00F32C13">
        <w:trPr>
          <w:tblCellSpacing w:w="20" w:type="dxa"/>
        </w:trPr>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4</w:t>
            </w:r>
          </w:p>
        </w:tc>
        <w:tc>
          <w:tcPr>
            <w:tcW w:w="0" w:type="auto"/>
            <w:tcMar>
              <w:top w:w="75" w:type="dxa"/>
              <w:left w:w="75" w:type="dxa"/>
              <w:bottom w:w="75" w:type="dxa"/>
              <w:right w:w="75" w:type="dxa"/>
            </w:tcMar>
            <w:vAlign w:val="center"/>
            <w:hideMark/>
          </w:tcPr>
          <w:p w:rsidR="00F32C13" w:rsidRPr="00F32C13" w:rsidRDefault="00F32C13" w:rsidP="00812666">
            <w:pPr>
              <w:spacing w:after="0" w:line="240" w:lineRule="auto"/>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Прочие активы</w:t>
            </w:r>
          </w:p>
        </w:tc>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84 492</w:t>
            </w:r>
          </w:p>
        </w:tc>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оценка не проводилась*</w:t>
            </w:r>
          </w:p>
        </w:tc>
      </w:tr>
      <w:tr w:rsidR="00F32C13" w:rsidRPr="00F32C13" w:rsidTr="00F32C13">
        <w:trPr>
          <w:tblCellSpacing w:w="20" w:type="dxa"/>
        </w:trPr>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p>
        </w:tc>
        <w:tc>
          <w:tcPr>
            <w:tcW w:w="0" w:type="auto"/>
            <w:tcMar>
              <w:top w:w="75" w:type="dxa"/>
              <w:left w:w="75" w:type="dxa"/>
              <w:bottom w:w="75" w:type="dxa"/>
              <w:right w:w="75" w:type="dxa"/>
            </w:tcMar>
            <w:vAlign w:val="center"/>
            <w:hideMark/>
          </w:tcPr>
          <w:p w:rsidR="00F32C13" w:rsidRPr="00F32C13" w:rsidRDefault="00812666" w:rsidP="008126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Итого</w:t>
            </w:r>
          </w:p>
        </w:tc>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b/>
                <w:bCs/>
                <w:color w:val="000000"/>
                <w:lang w:eastAsia="ru-RU"/>
              </w:rPr>
              <w:t>850 735</w:t>
            </w:r>
          </w:p>
        </w:tc>
        <w:tc>
          <w:tcPr>
            <w:tcW w:w="0" w:type="auto"/>
            <w:tcMar>
              <w:top w:w="75" w:type="dxa"/>
              <w:left w:w="75" w:type="dxa"/>
              <w:bottom w:w="75" w:type="dxa"/>
              <w:right w:w="75" w:type="dxa"/>
            </w:tcMar>
            <w:vAlign w:val="center"/>
            <w:hideMark/>
          </w:tcPr>
          <w:p w:rsidR="00F32C13" w:rsidRPr="00F32C13" w:rsidRDefault="00F32C13" w:rsidP="00F32C13">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b/>
                <w:bCs/>
                <w:color w:val="000000"/>
                <w:lang w:eastAsia="ru-RU"/>
              </w:rPr>
              <w:t>243 394</w:t>
            </w:r>
          </w:p>
        </w:tc>
      </w:tr>
    </w:tbl>
    <w:p w:rsidR="00F32C13" w:rsidRPr="00F32C13" w:rsidRDefault="00F32C13" w:rsidP="00F32C13">
      <w:pPr>
        <w:spacing w:after="0" w:line="240" w:lineRule="auto"/>
        <w:jc w:val="both"/>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*Оценка имущества будет проведена в случае принятия соответствующего решения кредиторами Банка.</w:t>
      </w:r>
    </w:p>
    <w:p w:rsidR="00F32C13" w:rsidRPr="00F32C13" w:rsidRDefault="00F32C13" w:rsidP="00F32C13">
      <w:pPr>
        <w:spacing w:after="0" w:line="240" w:lineRule="auto"/>
        <w:jc w:val="both"/>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**В связи с вступлением в силу с 1 января 2019 г. ряда нормативных актов Банка России по бухгалтерскому учету на балансовых счетах Банка отражены требования по начисленным процентам в сумме 68 860 тыс. руб., которые ранее учитывались на внебалансовых счетах по учету неполученных процентных доходов. Поступление денежных средств от реализации (взыскания) данных активов в размере 68 380 тыс. руб. представляется маловероятным.</w:t>
      </w:r>
    </w:p>
    <w:p w:rsidR="00F32C13" w:rsidRPr="00F32C13" w:rsidRDefault="00F32C13" w:rsidP="00F32C13">
      <w:pPr>
        <w:spacing w:after="0" w:line="240" w:lineRule="auto"/>
        <w:jc w:val="both"/>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***Проведена оценка в отношении недвижимого имущества и автотранспортных средств.</w:t>
      </w:r>
    </w:p>
    <w:p w:rsidR="00F32C13" w:rsidRDefault="00F32C13" w:rsidP="00F32C13">
      <w:pPr>
        <w:spacing w:after="0" w:line="240" w:lineRule="auto"/>
        <w:jc w:val="center"/>
        <w:rPr>
          <w:rFonts w:ascii="Times New Roman" w:eastAsia="Times New Roman" w:hAnsi="Times New Roman" w:cs="Times New Roman"/>
          <w:b/>
          <w:bCs/>
          <w:color w:val="000000"/>
          <w:sz w:val="26"/>
          <w:szCs w:val="26"/>
          <w:lang w:eastAsia="ru-RU"/>
        </w:rPr>
      </w:pPr>
    </w:p>
    <w:p w:rsidR="00F32C13" w:rsidRPr="00F32C13" w:rsidRDefault="00F32C13" w:rsidP="00F32C13">
      <w:pPr>
        <w:spacing w:after="0" w:line="240" w:lineRule="auto"/>
        <w:jc w:val="center"/>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b/>
          <w:bCs/>
          <w:color w:val="000000"/>
          <w:sz w:val="26"/>
          <w:szCs w:val="26"/>
          <w:lang w:eastAsia="ru-RU"/>
        </w:rPr>
        <w:t xml:space="preserve">Отчет об исполнении сметы расходов (затрат) на проведение мероприятий конкурсного производства в отношении АО «Тагилбанк» </w:t>
      </w:r>
    </w:p>
    <w:p w:rsidR="00F32C13" w:rsidRPr="00F32C13" w:rsidRDefault="00F32C13" w:rsidP="00F32C13">
      <w:pPr>
        <w:spacing w:after="0" w:line="240" w:lineRule="auto"/>
        <w:jc w:val="center"/>
        <w:rPr>
          <w:rFonts w:ascii="Times New Roman" w:eastAsia="Times New Roman" w:hAnsi="Times New Roman" w:cs="Times New Roman"/>
          <w:color w:val="000000"/>
          <w:sz w:val="26"/>
          <w:szCs w:val="26"/>
          <w:lang w:eastAsia="ru-RU"/>
        </w:rPr>
      </w:pPr>
      <w:r w:rsidRPr="00F32C13">
        <w:rPr>
          <w:rFonts w:ascii="Times New Roman" w:eastAsia="Times New Roman" w:hAnsi="Times New Roman" w:cs="Times New Roman"/>
          <w:b/>
          <w:bCs/>
          <w:color w:val="000000"/>
          <w:sz w:val="26"/>
          <w:szCs w:val="26"/>
          <w:lang w:eastAsia="ru-RU"/>
        </w:rPr>
        <w:t>за период с 3 октября 2018 г. по 28 февраля 2019 г.</w:t>
      </w:r>
    </w:p>
    <w:p w:rsidR="00F32C13" w:rsidRPr="00F32C13" w:rsidRDefault="00F32C13" w:rsidP="00F32C13">
      <w:pPr>
        <w:spacing w:after="0" w:line="240" w:lineRule="auto"/>
        <w:jc w:val="right"/>
        <w:rPr>
          <w:rFonts w:ascii="Times New Roman" w:eastAsia="Times New Roman" w:hAnsi="Times New Roman" w:cs="Times New Roman"/>
          <w:color w:val="000000"/>
          <w:lang w:eastAsia="ru-RU"/>
        </w:rPr>
      </w:pPr>
      <w:r w:rsidRPr="00F32C13">
        <w:rPr>
          <w:rFonts w:ascii="Times New Roman" w:eastAsia="Times New Roman" w:hAnsi="Times New Roman" w:cs="Times New Roman"/>
          <w:b/>
          <w:bCs/>
          <w:color w:val="000000"/>
          <w:lang w:eastAsia="ru-RU"/>
        </w:rPr>
        <w:t>(тыс. руб.)</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95"/>
        <w:gridCol w:w="4551"/>
        <w:gridCol w:w="1246"/>
        <w:gridCol w:w="1246"/>
        <w:gridCol w:w="1877"/>
      </w:tblGrid>
      <w:tr w:rsidR="00812666" w:rsidRPr="00F32C13" w:rsidTr="00812666">
        <w:trPr>
          <w:trHeight w:val="299"/>
          <w:tblCellSpacing w:w="20" w:type="dxa"/>
        </w:trPr>
        <w:tc>
          <w:tcPr>
            <w:tcW w:w="331" w:type="pct"/>
            <w:vMerge w:val="restar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b/>
                <w:bCs/>
                <w:color w:val="000000"/>
                <w:lang w:eastAsia="ru-RU"/>
              </w:rPr>
              <w:t>№ п/п</w:t>
            </w:r>
          </w:p>
        </w:tc>
        <w:tc>
          <w:tcPr>
            <w:tcW w:w="2346" w:type="pct"/>
            <w:vMerge w:val="restar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b/>
                <w:bCs/>
                <w:color w:val="000000"/>
                <w:lang w:eastAsia="ru-RU"/>
              </w:rPr>
              <w:t>Перечень расходов и затрат</w:t>
            </w:r>
          </w:p>
        </w:tc>
        <w:tc>
          <w:tcPr>
            <w:tcW w:w="627" w:type="pct"/>
            <w:vMerge w:val="restar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b/>
                <w:bCs/>
                <w:color w:val="000000"/>
                <w:lang w:eastAsia="ru-RU"/>
              </w:rPr>
              <w:t>План</w:t>
            </w:r>
          </w:p>
        </w:tc>
        <w:tc>
          <w:tcPr>
            <w:tcW w:w="627" w:type="pct"/>
            <w:vMerge w:val="restar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b/>
                <w:bCs/>
                <w:color w:val="000000"/>
                <w:lang w:eastAsia="ru-RU"/>
              </w:rPr>
              <w:t>Факт</w:t>
            </w:r>
          </w:p>
        </w:tc>
        <w:tc>
          <w:tcPr>
            <w:tcW w:w="945" w:type="pct"/>
            <w:vMerge w:val="restar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b/>
                <w:bCs/>
                <w:color w:val="000000"/>
                <w:lang w:eastAsia="ru-RU"/>
              </w:rPr>
              <w:t>*Экономия (+)/ перерасход</w:t>
            </w:r>
          </w:p>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b/>
                <w:bCs/>
                <w:color w:val="000000"/>
                <w:lang w:eastAsia="ru-RU"/>
              </w:rPr>
              <w:t>(-)</w:t>
            </w:r>
          </w:p>
        </w:tc>
      </w:tr>
      <w:tr w:rsidR="00812666" w:rsidRPr="00F32C13" w:rsidTr="00812666">
        <w:trPr>
          <w:trHeight w:val="299"/>
          <w:tblCellSpacing w:w="20" w:type="dxa"/>
        </w:trPr>
        <w:tc>
          <w:tcPr>
            <w:tcW w:w="331" w:type="pct"/>
            <w:vMerge/>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p>
        </w:tc>
        <w:tc>
          <w:tcPr>
            <w:tcW w:w="2346" w:type="pct"/>
            <w:vMerge/>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p>
        </w:tc>
        <w:tc>
          <w:tcPr>
            <w:tcW w:w="627" w:type="pct"/>
            <w:vMerge/>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p>
        </w:tc>
        <w:tc>
          <w:tcPr>
            <w:tcW w:w="627" w:type="pct"/>
            <w:vMerge/>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p>
        </w:tc>
        <w:tc>
          <w:tcPr>
            <w:tcW w:w="945" w:type="pct"/>
            <w:vMerge/>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p>
        </w:tc>
      </w:tr>
      <w:tr w:rsidR="00812666" w:rsidRPr="00F32C13" w:rsidTr="00812666">
        <w:trPr>
          <w:tblCellSpacing w:w="20" w:type="dxa"/>
        </w:trPr>
        <w:tc>
          <w:tcPr>
            <w:tcW w:w="331" w:type="pc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1</w:t>
            </w:r>
          </w:p>
        </w:tc>
        <w:tc>
          <w:tcPr>
            <w:tcW w:w="2346" w:type="pct"/>
            <w:tcMar>
              <w:top w:w="75" w:type="dxa"/>
              <w:left w:w="75" w:type="dxa"/>
              <w:bottom w:w="75" w:type="dxa"/>
              <w:right w:w="75" w:type="dxa"/>
            </w:tcMar>
            <w:vAlign w:val="center"/>
            <w:hideMark/>
          </w:tcPr>
          <w:p w:rsidR="00F32C13" w:rsidRPr="00F32C13" w:rsidRDefault="00F32C13" w:rsidP="00812666">
            <w:pPr>
              <w:spacing w:after="0" w:line="240" w:lineRule="auto"/>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Административно-хозяйственные расходы</w:t>
            </w:r>
          </w:p>
        </w:tc>
        <w:tc>
          <w:tcPr>
            <w:tcW w:w="627" w:type="pc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31 745</w:t>
            </w:r>
          </w:p>
        </w:tc>
        <w:tc>
          <w:tcPr>
            <w:tcW w:w="627" w:type="pc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17 846</w:t>
            </w:r>
          </w:p>
        </w:tc>
        <w:tc>
          <w:tcPr>
            <w:tcW w:w="945" w:type="pc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+ 13 899</w:t>
            </w:r>
          </w:p>
        </w:tc>
      </w:tr>
      <w:tr w:rsidR="00812666" w:rsidRPr="00F32C13" w:rsidTr="00812666">
        <w:trPr>
          <w:tblCellSpacing w:w="20" w:type="dxa"/>
        </w:trPr>
        <w:tc>
          <w:tcPr>
            <w:tcW w:w="331" w:type="pc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2</w:t>
            </w:r>
          </w:p>
        </w:tc>
        <w:tc>
          <w:tcPr>
            <w:tcW w:w="2346" w:type="pct"/>
            <w:tcMar>
              <w:top w:w="75" w:type="dxa"/>
              <w:left w:w="75" w:type="dxa"/>
              <w:bottom w:w="75" w:type="dxa"/>
              <w:right w:w="75" w:type="dxa"/>
            </w:tcMar>
            <w:vAlign w:val="center"/>
            <w:hideMark/>
          </w:tcPr>
          <w:p w:rsidR="00F32C13" w:rsidRPr="00F32C13" w:rsidRDefault="00F32C13" w:rsidP="00812666">
            <w:pPr>
              <w:spacing w:after="0" w:line="240" w:lineRule="auto"/>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Расходы на содержание аппарата</w:t>
            </w:r>
          </w:p>
        </w:tc>
        <w:tc>
          <w:tcPr>
            <w:tcW w:w="627" w:type="pc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18 929</w:t>
            </w:r>
          </w:p>
        </w:tc>
        <w:tc>
          <w:tcPr>
            <w:tcW w:w="627" w:type="pc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12 837</w:t>
            </w:r>
          </w:p>
        </w:tc>
        <w:tc>
          <w:tcPr>
            <w:tcW w:w="945" w:type="pc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+ 6 092</w:t>
            </w:r>
          </w:p>
        </w:tc>
      </w:tr>
      <w:tr w:rsidR="00812666" w:rsidRPr="00F32C13" w:rsidTr="00812666">
        <w:trPr>
          <w:tblCellSpacing w:w="20" w:type="dxa"/>
        </w:trPr>
        <w:tc>
          <w:tcPr>
            <w:tcW w:w="331" w:type="pc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p>
        </w:tc>
        <w:tc>
          <w:tcPr>
            <w:tcW w:w="2346" w:type="pct"/>
            <w:tcMar>
              <w:top w:w="75" w:type="dxa"/>
              <w:left w:w="75" w:type="dxa"/>
              <w:bottom w:w="75" w:type="dxa"/>
              <w:right w:w="75" w:type="dxa"/>
            </w:tcMar>
            <w:vAlign w:val="center"/>
            <w:hideMark/>
          </w:tcPr>
          <w:p w:rsidR="00F32C13" w:rsidRPr="00F32C13" w:rsidRDefault="00812666" w:rsidP="0081266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Итого</w:t>
            </w:r>
          </w:p>
        </w:tc>
        <w:tc>
          <w:tcPr>
            <w:tcW w:w="627" w:type="pc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50 674</w:t>
            </w:r>
          </w:p>
        </w:tc>
        <w:tc>
          <w:tcPr>
            <w:tcW w:w="627" w:type="pc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30 683</w:t>
            </w:r>
          </w:p>
        </w:tc>
        <w:tc>
          <w:tcPr>
            <w:tcW w:w="945" w:type="pct"/>
            <w:tcMar>
              <w:top w:w="75" w:type="dxa"/>
              <w:left w:w="75" w:type="dxa"/>
              <w:bottom w:w="75" w:type="dxa"/>
              <w:right w:w="75" w:type="dxa"/>
            </w:tcMar>
            <w:vAlign w:val="center"/>
            <w:hideMark/>
          </w:tcPr>
          <w:p w:rsidR="00F32C13" w:rsidRPr="00F32C13" w:rsidRDefault="00F32C13" w:rsidP="00812666">
            <w:pPr>
              <w:spacing w:after="0" w:line="240" w:lineRule="auto"/>
              <w:jc w:val="center"/>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+ 19 991****</w:t>
            </w:r>
          </w:p>
        </w:tc>
      </w:tr>
    </w:tbl>
    <w:p w:rsidR="00F32C13" w:rsidRPr="00F32C13" w:rsidRDefault="00F32C13" w:rsidP="00F32C13">
      <w:pPr>
        <w:spacing w:after="0" w:line="240" w:lineRule="auto"/>
        <w:jc w:val="both"/>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t>Примечание: сведения представляются нарастающим итогом с даты открытия процедуры конкурсного производства по отчетную дату.</w:t>
      </w:r>
    </w:p>
    <w:p w:rsidR="00F32C13" w:rsidRPr="00F32C13" w:rsidRDefault="00F32C13" w:rsidP="00F32C13">
      <w:pPr>
        <w:spacing w:after="0" w:line="240" w:lineRule="auto"/>
        <w:jc w:val="both"/>
        <w:rPr>
          <w:rFonts w:ascii="Times New Roman" w:eastAsia="Times New Roman" w:hAnsi="Times New Roman" w:cs="Times New Roman"/>
          <w:color w:val="000000"/>
          <w:lang w:eastAsia="ru-RU"/>
        </w:rPr>
      </w:pPr>
      <w:r w:rsidRPr="00F32C13">
        <w:rPr>
          <w:rFonts w:ascii="Times New Roman" w:eastAsia="Times New Roman" w:hAnsi="Times New Roman" w:cs="Times New Roman"/>
          <w:color w:val="000000"/>
          <w:lang w:eastAsia="ru-RU"/>
        </w:rPr>
        <w:lastRenderedPageBreak/>
        <w:t>****Экономия обусловлена переносом планируемых расходов, непроизведенных в период действия смет, в сметы следующего квартала, по причине несвоевременного предоставления контрагентами первичных документов, подтверждающих факт оказания услуг и несвоевременного обращения уволенных работников за пособиями, предусмотренными законодательством.</w:t>
      </w:r>
    </w:p>
    <w:p w:rsidR="00B54B23" w:rsidRPr="00812666" w:rsidRDefault="00B54B23" w:rsidP="00F32C13">
      <w:pPr>
        <w:spacing w:after="0" w:line="240" w:lineRule="auto"/>
        <w:rPr>
          <w:rFonts w:ascii="Times New Roman" w:hAnsi="Times New Roman" w:cs="Times New Roman"/>
        </w:rPr>
      </w:pPr>
    </w:p>
    <w:sectPr w:rsidR="00B54B23" w:rsidRPr="00812666" w:rsidSect="00F32C13">
      <w:footerReference w:type="default" r:id="rId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EE" w:rsidRDefault="00406AEE" w:rsidP="00F32C13">
      <w:pPr>
        <w:spacing w:after="0" w:line="240" w:lineRule="auto"/>
      </w:pPr>
      <w:r>
        <w:separator/>
      </w:r>
    </w:p>
  </w:endnote>
  <w:endnote w:type="continuationSeparator" w:id="0">
    <w:p w:rsidR="00406AEE" w:rsidRDefault="00406AEE" w:rsidP="00F3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936215"/>
      <w:docPartObj>
        <w:docPartGallery w:val="Page Numbers (Bottom of Page)"/>
        <w:docPartUnique/>
      </w:docPartObj>
    </w:sdtPr>
    <w:sdtContent>
      <w:p w:rsidR="00F32C13" w:rsidRDefault="00F32C13">
        <w:pPr>
          <w:pStyle w:val="a6"/>
          <w:jc w:val="right"/>
        </w:pPr>
        <w:r>
          <w:fldChar w:fldCharType="begin"/>
        </w:r>
        <w:r>
          <w:instrText>PAGE   \* MERGEFORMAT</w:instrText>
        </w:r>
        <w:r>
          <w:fldChar w:fldCharType="separate"/>
        </w:r>
        <w:r w:rsidR="00812666">
          <w:rPr>
            <w:noProof/>
          </w:rPr>
          <w:t>2</w:t>
        </w:r>
        <w:r>
          <w:fldChar w:fldCharType="end"/>
        </w:r>
      </w:p>
    </w:sdtContent>
  </w:sdt>
  <w:p w:rsidR="00F32C13" w:rsidRDefault="00F32C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EE" w:rsidRDefault="00406AEE" w:rsidP="00F32C13">
      <w:pPr>
        <w:spacing w:after="0" w:line="240" w:lineRule="auto"/>
      </w:pPr>
      <w:r>
        <w:separator/>
      </w:r>
    </w:p>
  </w:footnote>
  <w:footnote w:type="continuationSeparator" w:id="0">
    <w:p w:rsidR="00406AEE" w:rsidRDefault="00406AEE" w:rsidP="00F32C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13"/>
    <w:rsid w:val="00406AEE"/>
    <w:rsid w:val="00812666"/>
    <w:rsid w:val="00B54B23"/>
    <w:rsid w:val="00F3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2C13"/>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C13"/>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F32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F32C13"/>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F32C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2C13"/>
  </w:style>
  <w:style w:type="paragraph" w:styleId="a6">
    <w:name w:val="footer"/>
    <w:basedOn w:val="a"/>
    <w:link w:val="a7"/>
    <w:uiPriority w:val="99"/>
    <w:unhideWhenUsed/>
    <w:rsid w:val="00F32C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2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2C13"/>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C13"/>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F32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F32C13"/>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F32C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2C13"/>
  </w:style>
  <w:style w:type="paragraph" w:styleId="a6">
    <w:name w:val="footer"/>
    <w:basedOn w:val="a"/>
    <w:link w:val="a7"/>
    <w:uiPriority w:val="99"/>
    <w:unhideWhenUsed/>
    <w:rsid w:val="00F32C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046">
      <w:bodyDiv w:val="1"/>
      <w:marLeft w:val="0"/>
      <w:marRight w:val="0"/>
      <w:marTop w:val="0"/>
      <w:marBottom w:val="0"/>
      <w:divBdr>
        <w:top w:val="none" w:sz="0" w:space="0" w:color="auto"/>
        <w:left w:val="none" w:sz="0" w:space="0" w:color="auto"/>
        <w:bottom w:val="none" w:sz="0" w:space="0" w:color="auto"/>
        <w:right w:val="none" w:sz="0" w:space="0" w:color="auto"/>
      </w:divBdr>
      <w:divsChild>
        <w:div w:id="629167036">
          <w:marLeft w:val="0"/>
          <w:marRight w:val="0"/>
          <w:marTop w:val="0"/>
          <w:marBottom w:val="0"/>
          <w:divBdr>
            <w:top w:val="none" w:sz="0" w:space="0" w:color="auto"/>
            <w:left w:val="none" w:sz="0" w:space="0" w:color="auto"/>
            <w:bottom w:val="none" w:sz="0" w:space="0" w:color="auto"/>
            <w:right w:val="none" w:sz="0" w:space="0" w:color="auto"/>
          </w:divBdr>
          <w:divsChild>
            <w:div w:id="1836071334">
              <w:marLeft w:val="0"/>
              <w:marRight w:val="0"/>
              <w:marTop w:val="0"/>
              <w:marBottom w:val="0"/>
              <w:divBdr>
                <w:top w:val="single" w:sz="24" w:space="8" w:color="486BAD"/>
                <w:left w:val="single" w:sz="24" w:space="8" w:color="486BAD"/>
                <w:bottom w:val="single" w:sz="24" w:space="0" w:color="486BAD"/>
                <w:right w:val="single" w:sz="24" w:space="8" w:color="486BAD"/>
              </w:divBdr>
              <w:divsChild>
                <w:div w:id="719983063">
                  <w:marLeft w:val="1"/>
                  <w:marRight w:val="1"/>
                  <w:marTop w:val="0"/>
                  <w:marBottom w:val="750"/>
                  <w:divBdr>
                    <w:top w:val="none" w:sz="0" w:space="0" w:color="auto"/>
                    <w:left w:val="none" w:sz="0" w:space="0" w:color="auto"/>
                    <w:bottom w:val="none" w:sz="0" w:space="0" w:color="auto"/>
                    <w:right w:val="none" w:sz="0" w:space="0" w:color="auto"/>
                  </w:divBdr>
                  <w:divsChild>
                    <w:div w:id="1593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Прокопышина Елена Анатольевна</dc:creator>
  <cp:lastModifiedBy>Прокопышина Елена Анатольевна</cp:lastModifiedBy>
  <cp:revision>1</cp:revision>
  <dcterms:created xsi:type="dcterms:W3CDTF">2019-04-11T07:19:00Z</dcterms:created>
  <dcterms:modified xsi:type="dcterms:W3CDTF">2019-04-11T07:35:00Z</dcterms:modified>
</cp:coreProperties>
</file>