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9A" w:rsidRPr="00142653" w:rsidRDefault="00142653" w:rsidP="00142653">
      <w:pPr>
        <w:pStyle w:val="ConsPlusNormal"/>
        <w:spacing w:line="276" w:lineRule="auto"/>
        <w:ind w:left="5954" w:right="1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Рекомендуемый образец проекта программы экспериментального правового режима</w:t>
      </w:r>
    </w:p>
    <w:p w:rsidR="00810B9A" w:rsidRPr="000A6779" w:rsidRDefault="00810B9A" w:rsidP="00C5537B">
      <w:pPr>
        <w:pStyle w:val="ConsPlusNormal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10B9A" w:rsidRPr="000A6779" w:rsidRDefault="00810B9A" w:rsidP="00810B9A">
      <w:pPr>
        <w:pStyle w:val="ConsPlusNormal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10B9A" w:rsidRPr="000A6779" w:rsidRDefault="00810B9A" w:rsidP="00810B9A">
      <w:pPr>
        <w:pStyle w:val="ConsPlusNormal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810B9A" w:rsidRPr="00940674" w:rsidRDefault="00810B9A" w:rsidP="00810B9A">
      <w:pPr>
        <w:pStyle w:val="ConsPlusTitle"/>
        <w:spacing w:after="360"/>
        <w:jc w:val="center"/>
        <w:rPr>
          <w:rFonts w:ascii="Times New Roman" w:hAnsi="Times New Roman" w:cs="Times New Roman"/>
          <w:b w:val="0"/>
          <w:i/>
          <w:color w:val="0070C0"/>
          <w:sz w:val="28"/>
          <w:szCs w:val="28"/>
        </w:rPr>
      </w:pPr>
      <w:bookmarkStart w:id="0" w:name="Par30"/>
      <w:bookmarkEnd w:id="0"/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ЭКСПЕРИМЕНТАЛЬНОГО ПРАВОВОГО РЕЖИМА </w:t>
      </w: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СФЕРЕ ЦИФРОВЫХ ИННОВАЦИЙ НА ФИНАНСОВОМ РЫНКЕ</w:t>
      </w:r>
      <w:r w:rsidR="00F96C17"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0674" w:rsidRPr="00940674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>(</w:t>
      </w:r>
      <w:r w:rsidR="00F96C17" w:rsidRPr="00940674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>наименование в соответствии с Федеральным законом, позволяющим установление ЭПР</w:t>
      </w:r>
      <w:r w:rsidRPr="00940674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>)</w:t>
      </w:r>
    </w:p>
    <w:p w:rsidR="00810B9A" w:rsidRPr="000A6779" w:rsidRDefault="00810B9A" w:rsidP="00A2270B">
      <w:pPr>
        <w:pStyle w:val="ConsPlusTitle"/>
        <w:spacing w:before="480" w:after="240" w:line="36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>Глава 1. Описание и срок действия экспериментального правового режима</w:t>
      </w:r>
    </w:p>
    <w:p w:rsidR="00810B9A" w:rsidRPr="00940674" w:rsidRDefault="000A6779" w:rsidP="000B5A8B">
      <w:pPr>
        <w:pStyle w:val="ConsPlusNormal"/>
        <w:spacing w:line="276" w:lineRule="auto"/>
        <w:ind w:firstLine="709"/>
        <w:contextualSpacing/>
        <w:jc w:val="both"/>
        <w:rPr>
          <w:bCs/>
          <w:i/>
          <w:color w:val="0070C0"/>
          <w:sz w:val="28"/>
          <w:szCs w:val="28"/>
        </w:rPr>
      </w:pPr>
      <w:r w:rsidRPr="00940674">
        <w:rPr>
          <w:bCs/>
          <w:i/>
          <w:color w:val="0070C0"/>
          <w:sz w:val="28"/>
          <w:szCs w:val="28"/>
        </w:rPr>
        <w:t>Кратко описывается ЭПР</w:t>
      </w:r>
      <w:r w:rsidR="00810B9A" w:rsidRPr="00940674">
        <w:rPr>
          <w:bCs/>
          <w:i/>
          <w:color w:val="0070C0"/>
          <w:sz w:val="28"/>
          <w:szCs w:val="28"/>
        </w:rPr>
        <w:t xml:space="preserve">, срок </w:t>
      </w:r>
      <w:r w:rsidRPr="00940674">
        <w:rPr>
          <w:bCs/>
          <w:i/>
          <w:color w:val="0070C0"/>
          <w:sz w:val="28"/>
          <w:szCs w:val="28"/>
        </w:rPr>
        <w:t xml:space="preserve">его </w:t>
      </w:r>
      <w:r w:rsidR="00810B9A" w:rsidRPr="00940674">
        <w:rPr>
          <w:bCs/>
          <w:i/>
          <w:color w:val="0070C0"/>
          <w:sz w:val="28"/>
          <w:szCs w:val="28"/>
        </w:rPr>
        <w:t xml:space="preserve">действия, а также дата начала срока действия ЭПР (при </w:t>
      </w:r>
      <w:r w:rsidR="00A2270B" w:rsidRPr="00940674">
        <w:rPr>
          <w:bCs/>
          <w:i/>
          <w:color w:val="0070C0"/>
          <w:sz w:val="28"/>
          <w:szCs w:val="28"/>
        </w:rPr>
        <w:t>необходимости</w:t>
      </w:r>
      <w:r w:rsidR="00810B9A" w:rsidRPr="00940674">
        <w:rPr>
          <w:bCs/>
          <w:i/>
          <w:color w:val="0070C0"/>
          <w:sz w:val="28"/>
          <w:szCs w:val="28"/>
        </w:rPr>
        <w:t>)</w:t>
      </w:r>
      <w:r w:rsidR="00CD7A03" w:rsidRPr="00940674">
        <w:rPr>
          <w:bCs/>
          <w:i/>
          <w:color w:val="0070C0"/>
          <w:sz w:val="28"/>
          <w:szCs w:val="28"/>
        </w:rPr>
        <w:t xml:space="preserve"> и цели установления ЭПР</w:t>
      </w:r>
      <w:r w:rsidR="00810B9A" w:rsidRPr="00940674">
        <w:rPr>
          <w:bCs/>
          <w:i/>
          <w:color w:val="0070C0"/>
          <w:sz w:val="28"/>
          <w:szCs w:val="28"/>
        </w:rPr>
        <w:t>.</w:t>
      </w:r>
    </w:p>
    <w:p w:rsidR="000A6779" w:rsidRPr="00940674" w:rsidRDefault="000A6779" w:rsidP="000B5A8B">
      <w:pPr>
        <w:pStyle w:val="ConsPlusNormal"/>
        <w:spacing w:line="276" w:lineRule="auto"/>
        <w:ind w:firstLine="709"/>
        <w:contextualSpacing/>
        <w:jc w:val="both"/>
        <w:rPr>
          <w:bCs/>
          <w:i/>
          <w:color w:val="0070C0"/>
          <w:sz w:val="28"/>
          <w:szCs w:val="28"/>
        </w:rPr>
      </w:pPr>
      <w:r w:rsidRPr="00940674">
        <w:rPr>
          <w:bCs/>
          <w:i/>
          <w:color w:val="0070C0"/>
          <w:sz w:val="28"/>
          <w:szCs w:val="28"/>
        </w:rPr>
        <w:t xml:space="preserve">Указывается, что ЭПР устанавливается в соответствии с пунктом 4 </w:t>
      </w:r>
      <w:r w:rsidR="00244217">
        <w:rPr>
          <w:bCs/>
          <w:i/>
          <w:color w:val="0070C0"/>
          <w:sz w:val="28"/>
          <w:szCs w:val="28"/>
        </w:rPr>
        <w:br/>
      </w:r>
      <w:r w:rsidRPr="00940674">
        <w:rPr>
          <w:bCs/>
          <w:i/>
          <w:color w:val="0070C0"/>
          <w:sz w:val="28"/>
          <w:szCs w:val="28"/>
        </w:rPr>
        <w:t>части 2 статьи 1 Федерального закона № 258-ФЗ</w:t>
      </w:r>
      <w:r w:rsidR="00F07833" w:rsidRPr="001336D9">
        <w:rPr>
          <w:bCs/>
          <w:color w:val="0070C0"/>
          <w:vertAlign w:val="superscript"/>
        </w:rPr>
        <w:footnoteReference w:id="1"/>
      </w:r>
      <w:r w:rsidRPr="00940674">
        <w:rPr>
          <w:bCs/>
          <w:i/>
          <w:color w:val="0070C0"/>
          <w:sz w:val="28"/>
          <w:szCs w:val="28"/>
        </w:rPr>
        <w:t>.</w:t>
      </w:r>
    </w:p>
    <w:p w:rsidR="00810B9A" w:rsidRPr="000A6779" w:rsidRDefault="00810B9A" w:rsidP="00A2270B">
      <w:pPr>
        <w:pStyle w:val="ConsPlusTitle"/>
        <w:spacing w:before="480" w:after="240" w:line="36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779">
        <w:rPr>
          <w:rFonts w:ascii="Times New Roman" w:hAnsi="Times New Roman" w:cs="Times New Roman"/>
          <w:color w:val="000000"/>
          <w:sz w:val="28"/>
          <w:szCs w:val="28"/>
        </w:rPr>
        <w:t>Глава 2</w:t>
      </w: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 о субъектах экспериментального правового режима</w:t>
      </w:r>
    </w:p>
    <w:p w:rsidR="00CD7A03" w:rsidRPr="00940674" w:rsidRDefault="00CD7A03" w:rsidP="000B5A8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40674">
        <w:rPr>
          <w:rFonts w:ascii="Times New Roman" w:hAnsi="Times New Roman"/>
          <w:i/>
          <w:color w:val="0070C0"/>
          <w:sz w:val="28"/>
          <w:szCs w:val="28"/>
        </w:rPr>
        <w:t>Указываются следующие положения:</w:t>
      </w:r>
    </w:p>
    <w:p w:rsidR="00CD7A03" w:rsidRPr="00940674" w:rsidRDefault="00A2270B" w:rsidP="000B5A8B">
      <w:pPr>
        <w:pStyle w:val="ae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40674">
        <w:rPr>
          <w:rFonts w:ascii="Times New Roman" w:hAnsi="Times New Roman"/>
          <w:i/>
          <w:color w:val="0070C0"/>
          <w:sz w:val="28"/>
          <w:szCs w:val="28"/>
        </w:rPr>
        <w:t>о видах</w:t>
      </w:r>
      <w:r w:rsidR="00CD7A03" w:rsidRPr="00940674">
        <w:rPr>
          <w:rFonts w:ascii="Times New Roman" w:hAnsi="Times New Roman"/>
          <w:i/>
          <w:color w:val="0070C0"/>
          <w:sz w:val="28"/>
          <w:szCs w:val="28"/>
        </w:rPr>
        <w:t xml:space="preserve"> субъектов ЭПР,</w:t>
      </w:r>
    </w:p>
    <w:p w:rsidR="00CD7A03" w:rsidRPr="00940674" w:rsidRDefault="00A2270B" w:rsidP="000B5A8B">
      <w:pPr>
        <w:pStyle w:val="ae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40674">
        <w:rPr>
          <w:rFonts w:ascii="Times New Roman" w:hAnsi="Times New Roman"/>
          <w:i/>
          <w:color w:val="0070C0"/>
          <w:sz w:val="28"/>
          <w:szCs w:val="28"/>
        </w:rPr>
        <w:t xml:space="preserve">об их количестве </w:t>
      </w:r>
      <w:r w:rsidR="00CD7A03" w:rsidRPr="00940674">
        <w:rPr>
          <w:rFonts w:ascii="Times New Roman" w:hAnsi="Times New Roman"/>
          <w:i/>
          <w:color w:val="0070C0"/>
          <w:sz w:val="28"/>
          <w:szCs w:val="28"/>
        </w:rPr>
        <w:t xml:space="preserve">(при необходимости), </w:t>
      </w:r>
    </w:p>
    <w:p w:rsidR="00CD7A03" w:rsidRPr="00940674" w:rsidRDefault="00A2270B" w:rsidP="000B5A8B">
      <w:pPr>
        <w:pStyle w:val="ae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40674">
        <w:rPr>
          <w:rFonts w:ascii="Times New Roman" w:hAnsi="Times New Roman"/>
          <w:i/>
          <w:color w:val="0070C0"/>
          <w:sz w:val="28"/>
          <w:szCs w:val="28"/>
        </w:rPr>
        <w:t xml:space="preserve">о </w:t>
      </w:r>
      <w:r w:rsidR="00CD7A03" w:rsidRPr="00940674">
        <w:rPr>
          <w:rFonts w:ascii="Times New Roman" w:hAnsi="Times New Roman"/>
          <w:i/>
          <w:color w:val="0070C0"/>
          <w:sz w:val="28"/>
          <w:szCs w:val="28"/>
        </w:rPr>
        <w:t>дат</w:t>
      </w:r>
      <w:r w:rsidRPr="00940674">
        <w:rPr>
          <w:rFonts w:ascii="Times New Roman" w:hAnsi="Times New Roman"/>
          <w:i/>
          <w:color w:val="0070C0"/>
          <w:sz w:val="28"/>
          <w:szCs w:val="28"/>
        </w:rPr>
        <w:t>е (или моменте), с которой</w:t>
      </w:r>
      <w:r w:rsidR="00A67B89">
        <w:rPr>
          <w:rFonts w:ascii="Times New Roman" w:hAnsi="Times New Roman"/>
          <w:i/>
          <w:color w:val="0070C0"/>
          <w:sz w:val="28"/>
          <w:szCs w:val="28"/>
        </w:rPr>
        <w:t xml:space="preserve"> положения п</w:t>
      </w:r>
      <w:r w:rsidR="00CD7A03" w:rsidRPr="00940674">
        <w:rPr>
          <w:rFonts w:ascii="Times New Roman" w:hAnsi="Times New Roman"/>
          <w:i/>
          <w:color w:val="0070C0"/>
          <w:sz w:val="28"/>
          <w:szCs w:val="28"/>
        </w:rPr>
        <w:t xml:space="preserve">рограммы ЭПР начинают распространяться </w:t>
      </w:r>
      <w:proofErr w:type="gramStart"/>
      <w:r w:rsidRPr="00940674">
        <w:rPr>
          <w:rFonts w:ascii="Times New Roman" w:hAnsi="Times New Roman"/>
          <w:i/>
          <w:color w:val="0070C0"/>
          <w:sz w:val="28"/>
          <w:szCs w:val="28"/>
        </w:rPr>
        <w:t>на субъектов</w:t>
      </w:r>
      <w:proofErr w:type="gramEnd"/>
      <w:r w:rsidRPr="00940674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CD7A03" w:rsidRPr="00940674">
        <w:rPr>
          <w:rFonts w:ascii="Times New Roman" w:hAnsi="Times New Roman"/>
          <w:i/>
          <w:color w:val="0070C0"/>
          <w:sz w:val="28"/>
          <w:szCs w:val="28"/>
        </w:rPr>
        <w:t xml:space="preserve">ЭПР, </w:t>
      </w:r>
    </w:p>
    <w:p w:rsidR="00CD7A03" w:rsidRPr="00940674" w:rsidRDefault="00142653" w:rsidP="000B5A8B">
      <w:pPr>
        <w:pStyle w:val="ae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>
        <w:rPr>
          <w:rFonts w:ascii="Times New Roman" w:hAnsi="Times New Roman"/>
          <w:i/>
          <w:color w:val="0070C0"/>
          <w:sz w:val="28"/>
          <w:szCs w:val="28"/>
        </w:rPr>
        <w:t>указание на</w:t>
      </w:r>
      <w:r w:rsidR="00B16CD6">
        <w:rPr>
          <w:rFonts w:ascii="Times New Roman" w:hAnsi="Times New Roman"/>
          <w:i/>
          <w:color w:val="0070C0"/>
          <w:sz w:val="28"/>
          <w:szCs w:val="28"/>
        </w:rPr>
        <w:t xml:space="preserve"> условие</w:t>
      </w:r>
      <w:r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CD7A03" w:rsidRPr="00940674">
        <w:rPr>
          <w:rFonts w:ascii="Times New Roman" w:hAnsi="Times New Roman"/>
          <w:i/>
          <w:color w:val="0070C0"/>
          <w:sz w:val="28"/>
          <w:szCs w:val="28"/>
        </w:rPr>
        <w:t>присоединени</w:t>
      </w:r>
      <w:r w:rsidR="00B16CD6">
        <w:rPr>
          <w:rFonts w:ascii="Times New Roman" w:hAnsi="Times New Roman"/>
          <w:i/>
          <w:color w:val="0070C0"/>
          <w:sz w:val="28"/>
          <w:szCs w:val="28"/>
        </w:rPr>
        <w:t>я новых</w:t>
      </w:r>
      <w:r w:rsidR="00CD7A03" w:rsidRPr="00940674">
        <w:rPr>
          <w:rFonts w:ascii="Times New Roman" w:hAnsi="Times New Roman"/>
          <w:i/>
          <w:color w:val="0070C0"/>
          <w:sz w:val="28"/>
          <w:szCs w:val="28"/>
        </w:rPr>
        <w:t xml:space="preserve"> лиц к ЭПР </w:t>
      </w:r>
      <w:r>
        <w:rPr>
          <w:rFonts w:ascii="Times New Roman" w:hAnsi="Times New Roman"/>
          <w:i/>
          <w:color w:val="0070C0"/>
          <w:sz w:val="28"/>
          <w:szCs w:val="28"/>
        </w:rPr>
        <w:t>в порядке, предусмотренном</w:t>
      </w:r>
      <w:r w:rsidR="001472A5">
        <w:rPr>
          <w:rFonts w:ascii="Times New Roman" w:hAnsi="Times New Roman"/>
          <w:i/>
          <w:color w:val="0070C0"/>
          <w:sz w:val="28"/>
          <w:szCs w:val="28"/>
        </w:rPr>
        <w:t xml:space="preserve"> частью 8 статьи 11 </w:t>
      </w:r>
      <w:r w:rsidR="001472A5" w:rsidRPr="001472A5">
        <w:rPr>
          <w:rFonts w:ascii="Times New Roman" w:hAnsi="Times New Roman"/>
          <w:i/>
          <w:color w:val="0070C0"/>
          <w:sz w:val="28"/>
          <w:szCs w:val="28"/>
        </w:rPr>
        <w:t>Федерального закона № 258-ФЗ</w:t>
      </w:r>
      <w:r w:rsidR="001472A5">
        <w:rPr>
          <w:rFonts w:ascii="Times New Roman" w:hAnsi="Times New Roman"/>
          <w:i/>
          <w:color w:val="0070C0"/>
          <w:sz w:val="28"/>
          <w:szCs w:val="28"/>
        </w:rPr>
        <w:t xml:space="preserve"> (</w:t>
      </w:r>
      <w:r w:rsidR="00CD7A03" w:rsidRPr="00940674">
        <w:rPr>
          <w:rFonts w:ascii="Times New Roman" w:hAnsi="Times New Roman"/>
          <w:i/>
          <w:color w:val="0070C0"/>
          <w:sz w:val="28"/>
          <w:szCs w:val="28"/>
        </w:rPr>
        <w:t>без внесения</w:t>
      </w:r>
      <w:r w:rsidR="001472A5">
        <w:rPr>
          <w:rFonts w:ascii="Times New Roman" w:hAnsi="Times New Roman"/>
          <w:i/>
          <w:color w:val="0070C0"/>
          <w:sz w:val="28"/>
          <w:szCs w:val="28"/>
        </w:rPr>
        <w:t xml:space="preserve"> соответствующих изменений</w:t>
      </w:r>
      <w:r w:rsidR="00CD7A03" w:rsidRPr="00940674">
        <w:rPr>
          <w:rFonts w:ascii="Times New Roman" w:hAnsi="Times New Roman"/>
          <w:i/>
          <w:color w:val="0070C0"/>
          <w:sz w:val="28"/>
          <w:szCs w:val="28"/>
        </w:rPr>
        <w:t xml:space="preserve"> в </w:t>
      </w:r>
      <w:r w:rsidR="00A67B89">
        <w:rPr>
          <w:rFonts w:ascii="Times New Roman" w:hAnsi="Times New Roman"/>
          <w:i/>
          <w:color w:val="0070C0"/>
          <w:sz w:val="28"/>
          <w:szCs w:val="28"/>
        </w:rPr>
        <w:t>п</w:t>
      </w:r>
      <w:r w:rsidR="00CD7A03" w:rsidRPr="00940674">
        <w:rPr>
          <w:rFonts w:ascii="Times New Roman" w:hAnsi="Times New Roman"/>
          <w:i/>
          <w:color w:val="0070C0"/>
          <w:sz w:val="28"/>
          <w:szCs w:val="28"/>
        </w:rPr>
        <w:t>рограмму ЭПР</w:t>
      </w:r>
      <w:r w:rsidR="001472A5">
        <w:rPr>
          <w:rFonts w:ascii="Times New Roman" w:hAnsi="Times New Roman"/>
          <w:i/>
          <w:color w:val="0070C0"/>
          <w:sz w:val="28"/>
          <w:szCs w:val="28"/>
        </w:rPr>
        <w:t>)</w:t>
      </w:r>
      <w:r w:rsidR="00CD7A03" w:rsidRPr="00940674">
        <w:rPr>
          <w:rFonts w:ascii="Times New Roman" w:hAnsi="Times New Roman"/>
          <w:i/>
          <w:color w:val="0070C0"/>
          <w:sz w:val="28"/>
          <w:szCs w:val="28"/>
        </w:rPr>
        <w:t xml:space="preserve">, </w:t>
      </w:r>
    </w:p>
    <w:p w:rsidR="00D04EAF" w:rsidRPr="00D04EAF" w:rsidRDefault="00D04EAF" w:rsidP="00D04EAF">
      <w:pPr>
        <w:pStyle w:val="ae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04EAF">
        <w:rPr>
          <w:rFonts w:ascii="Times New Roman" w:hAnsi="Times New Roman"/>
          <w:i/>
          <w:color w:val="0070C0"/>
          <w:sz w:val="28"/>
          <w:szCs w:val="28"/>
        </w:rPr>
        <w:t xml:space="preserve">для субъекта </w:t>
      </w:r>
      <w:r>
        <w:rPr>
          <w:rFonts w:ascii="Times New Roman" w:hAnsi="Times New Roman"/>
          <w:i/>
          <w:color w:val="0070C0"/>
          <w:sz w:val="28"/>
          <w:szCs w:val="28"/>
        </w:rPr>
        <w:t>ЭПР</w:t>
      </w:r>
      <w:r w:rsidRPr="00D04EAF">
        <w:rPr>
          <w:rFonts w:ascii="Times New Roman" w:hAnsi="Times New Roman"/>
          <w:i/>
          <w:color w:val="0070C0"/>
          <w:sz w:val="28"/>
          <w:szCs w:val="28"/>
        </w:rPr>
        <w:t>, являющегося юридическим лицом, - полное и сокращенное (при наличии) наименование, ОГРН, адрес, указанный в ЕГРЮЛ, номер телефона (при наличии), адрес офиц</w:t>
      </w:r>
      <w:r>
        <w:rPr>
          <w:rFonts w:ascii="Times New Roman" w:hAnsi="Times New Roman"/>
          <w:i/>
          <w:color w:val="0070C0"/>
          <w:sz w:val="28"/>
          <w:szCs w:val="28"/>
        </w:rPr>
        <w:t>иального сайта в сети «Интернет»</w:t>
      </w:r>
      <w:r w:rsidRPr="00D04EAF">
        <w:rPr>
          <w:rFonts w:ascii="Times New Roman" w:hAnsi="Times New Roman"/>
          <w:i/>
          <w:color w:val="0070C0"/>
          <w:sz w:val="28"/>
          <w:szCs w:val="28"/>
        </w:rPr>
        <w:t xml:space="preserve"> (при наличии);</w:t>
      </w:r>
    </w:p>
    <w:p w:rsidR="00064E22" w:rsidRDefault="00D04EAF" w:rsidP="00064E22">
      <w:pPr>
        <w:pStyle w:val="ae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D04EAF">
        <w:rPr>
          <w:rFonts w:ascii="Times New Roman" w:hAnsi="Times New Roman"/>
          <w:i/>
          <w:color w:val="0070C0"/>
          <w:sz w:val="28"/>
          <w:szCs w:val="28"/>
        </w:rPr>
        <w:t xml:space="preserve">для субъекта </w:t>
      </w:r>
      <w:r>
        <w:rPr>
          <w:rFonts w:ascii="Times New Roman" w:hAnsi="Times New Roman"/>
          <w:i/>
          <w:color w:val="0070C0"/>
          <w:sz w:val="28"/>
          <w:szCs w:val="28"/>
        </w:rPr>
        <w:t>ЭПР</w:t>
      </w:r>
      <w:r w:rsidRPr="00D04EAF">
        <w:rPr>
          <w:rFonts w:ascii="Times New Roman" w:hAnsi="Times New Roman"/>
          <w:i/>
          <w:color w:val="0070C0"/>
          <w:sz w:val="28"/>
          <w:szCs w:val="28"/>
        </w:rPr>
        <w:t>, являющегося индивидуальным предпринимателем, - фамилия, имя, отчество (последнее - при наличии), ОГРНИП, а</w:t>
      </w:r>
      <w:r>
        <w:rPr>
          <w:rFonts w:ascii="Times New Roman" w:hAnsi="Times New Roman"/>
          <w:i/>
          <w:color w:val="0070C0"/>
          <w:sz w:val="28"/>
          <w:szCs w:val="28"/>
        </w:rPr>
        <w:t>дрес официального сайта в сети «</w:t>
      </w:r>
      <w:r w:rsidRPr="00D04EAF">
        <w:rPr>
          <w:rFonts w:ascii="Times New Roman" w:hAnsi="Times New Roman"/>
          <w:i/>
          <w:color w:val="0070C0"/>
          <w:sz w:val="28"/>
          <w:szCs w:val="28"/>
        </w:rPr>
        <w:t>Интернет</w:t>
      </w:r>
      <w:r>
        <w:rPr>
          <w:rFonts w:ascii="Times New Roman" w:hAnsi="Times New Roman"/>
          <w:i/>
          <w:color w:val="0070C0"/>
          <w:sz w:val="28"/>
          <w:szCs w:val="28"/>
        </w:rPr>
        <w:t>»</w:t>
      </w:r>
      <w:r w:rsidRPr="00D04EAF">
        <w:rPr>
          <w:rFonts w:ascii="Times New Roman" w:hAnsi="Times New Roman"/>
          <w:i/>
          <w:color w:val="0070C0"/>
          <w:sz w:val="28"/>
          <w:szCs w:val="28"/>
        </w:rPr>
        <w:t xml:space="preserve"> (при наличии);</w:t>
      </w:r>
    </w:p>
    <w:p w:rsidR="005C4FBA" w:rsidRPr="00064E22" w:rsidRDefault="00CD7A03" w:rsidP="00064E22">
      <w:pPr>
        <w:pStyle w:val="ae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064E22">
        <w:rPr>
          <w:rFonts w:ascii="Times New Roman" w:hAnsi="Times New Roman"/>
          <w:i/>
          <w:color w:val="0070C0"/>
          <w:sz w:val="28"/>
          <w:szCs w:val="28"/>
        </w:rPr>
        <w:lastRenderedPageBreak/>
        <w:t>срок участия субъекта в ЭПР (при необходимости)</w:t>
      </w:r>
      <w:r w:rsidR="00940674" w:rsidRPr="00064E22">
        <w:rPr>
          <w:rFonts w:ascii="Times New Roman" w:hAnsi="Times New Roman"/>
          <w:i/>
          <w:color w:val="0070C0"/>
          <w:sz w:val="28"/>
          <w:szCs w:val="28"/>
        </w:rPr>
        <w:t>.</w:t>
      </w:r>
    </w:p>
    <w:p w:rsidR="00810B9A" w:rsidRPr="000A6779" w:rsidRDefault="00810B9A" w:rsidP="00A2270B">
      <w:pPr>
        <w:pStyle w:val="ConsPlusTitle"/>
        <w:spacing w:before="480" w:after="240" w:line="36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779">
        <w:rPr>
          <w:rFonts w:ascii="Times New Roman" w:hAnsi="Times New Roman" w:cs="Times New Roman"/>
          <w:color w:val="000000"/>
          <w:sz w:val="28"/>
          <w:szCs w:val="28"/>
        </w:rPr>
        <w:t>Глава 3</w:t>
      </w: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>. Описание цифровой инновации и порядок использования цифровой инновации, предоставляемой и апробируемой в условиях экспериментального правового режима</w:t>
      </w:r>
    </w:p>
    <w:p w:rsidR="004D338B" w:rsidRPr="00940674" w:rsidRDefault="004D338B" w:rsidP="000B5A8B">
      <w:pPr>
        <w:pStyle w:val="ConsPlusNormal"/>
        <w:spacing w:line="276" w:lineRule="auto"/>
        <w:ind w:firstLine="709"/>
        <w:contextualSpacing/>
        <w:jc w:val="both"/>
        <w:rPr>
          <w:i/>
          <w:color w:val="0070C0"/>
          <w:sz w:val="28"/>
          <w:szCs w:val="28"/>
        </w:rPr>
      </w:pPr>
      <w:r w:rsidRPr="00940674">
        <w:rPr>
          <w:i/>
          <w:color w:val="0070C0"/>
          <w:sz w:val="28"/>
          <w:szCs w:val="28"/>
        </w:rPr>
        <w:t>Описывается цифровая инновация, которая апробируется в рамках ЭПР с применением технологии (или технологий)</w:t>
      </w:r>
      <w:r w:rsidR="002E5B15" w:rsidRPr="00940674">
        <w:rPr>
          <w:i/>
          <w:color w:val="0070C0"/>
          <w:sz w:val="28"/>
          <w:szCs w:val="28"/>
        </w:rPr>
        <w:t xml:space="preserve">, </w:t>
      </w:r>
      <w:r w:rsidRPr="00940674">
        <w:rPr>
          <w:i/>
          <w:color w:val="0070C0"/>
          <w:sz w:val="28"/>
          <w:szCs w:val="28"/>
        </w:rPr>
        <w:t>перечисленных в Указании</w:t>
      </w:r>
      <w:r w:rsidR="002E5B15" w:rsidRPr="00940674">
        <w:rPr>
          <w:i/>
          <w:color w:val="0070C0"/>
          <w:sz w:val="28"/>
          <w:szCs w:val="28"/>
        </w:rPr>
        <w:t xml:space="preserve"> Банка России №</w:t>
      </w:r>
      <w:r w:rsidR="00C5537B" w:rsidRPr="00940674">
        <w:rPr>
          <w:i/>
          <w:color w:val="0070C0"/>
          <w:sz w:val="28"/>
          <w:szCs w:val="28"/>
        </w:rPr>
        <w:t xml:space="preserve"> 5634-У</w:t>
      </w:r>
      <w:r w:rsidR="00FE2ADA" w:rsidRPr="00940674">
        <w:rPr>
          <w:rStyle w:val="af1"/>
          <w:i/>
          <w:color w:val="0070C0"/>
          <w:sz w:val="28"/>
          <w:szCs w:val="28"/>
        </w:rPr>
        <w:footnoteReference w:id="2"/>
      </w:r>
      <w:r w:rsidR="002E5B15" w:rsidRPr="00940674">
        <w:rPr>
          <w:i/>
          <w:color w:val="0070C0"/>
          <w:sz w:val="28"/>
          <w:szCs w:val="28"/>
        </w:rPr>
        <w:t>.</w:t>
      </w:r>
      <w:r w:rsidRPr="00940674">
        <w:rPr>
          <w:i/>
          <w:color w:val="0070C0"/>
          <w:sz w:val="28"/>
          <w:szCs w:val="28"/>
        </w:rPr>
        <w:t xml:space="preserve"> </w:t>
      </w:r>
    </w:p>
    <w:p w:rsidR="00CD7A03" w:rsidRPr="00940674" w:rsidRDefault="00CD7A03" w:rsidP="000B5A8B">
      <w:pPr>
        <w:pStyle w:val="ConsPlusNormal"/>
        <w:spacing w:line="276" w:lineRule="auto"/>
        <w:ind w:firstLine="709"/>
        <w:contextualSpacing/>
        <w:jc w:val="both"/>
        <w:rPr>
          <w:i/>
          <w:color w:val="0070C0"/>
          <w:sz w:val="28"/>
          <w:szCs w:val="28"/>
        </w:rPr>
      </w:pPr>
      <w:r w:rsidRPr="00940674">
        <w:rPr>
          <w:i/>
          <w:color w:val="0070C0"/>
          <w:sz w:val="28"/>
          <w:szCs w:val="28"/>
        </w:rPr>
        <w:t>Указываются условия, при которых цифровая технология применяется.</w:t>
      </w:r>
    </w:p>
    <w:p w:rsidR="00810B9A" w:rsidRPr="00940674" w:rsidRDefault="004D338B" w:rsidP="000B5A8B">
      <w:pPr>
        <w:pStyle w:val="ConsPlusNormal"/>
        <w:spacing w:line="276" w:lineRule="auto"/>
        <w:ind w:firstLine="709"/>
        <w:contextualSpacing/>
        <w:jc w:val="both"/>
        <w:rPr>
          <w:i/>
          <w:color w:val="0070C0"/>
          <w:sz w:val="28"/>
          <w:szCs w:val="28"/>
        </w:rPr>
      </w:pPr>
      <w:r w:rsidRPr="00940674">
        <w:rPr>
          <w:i/>
          <w:color w:val="0070C0"/>
          <w:sz w:val="28"/>
          <w:szCs w:val="28"/>
        </w:rPr>
        <w:t xml:space="preserve">В данной главе допускаются ссылки на </w:t>
      </w:r>
      <w:r w:rsidR="001472A5">
        <w:rPr>
          <w:i/>
          <w:color w:val="0070C0"/>
          <w:sz w:val="28"/>
          <w:szCs w:val="28"/>
        </w:rPr>
        <w:t xml:space="preserve">иные </w:t>
      </w:r>
      <w:r w:rsidRPr="00940674">
        <w:rPr>
          <w:i/>
          <w:color w:val="0070C0"/>
          <w:sz w:val="28"/>
          <w:szCs w:val="28"/>
        </w:rPr>
        <w:t xml:space="preserve">главы </w:t>
      </w:r>
      <w:r w:rsidR="00A67B89">
        <w:rPr>
          <w:i/>
          <w:color w:val="0070C0"/>
          <w:sz w:val="28"/>
          <w:szCs w:val="28"/>
        </w:rPr>
        <w:t>п</w:t>
      </w:r>
      <w:r w:rsidR="001472A5">
        <w:rPr>
          <w:i/>
          <w:color w:val="0070C0"/>
          <w:sz w:val="28"/>
          <w:szCs w:val="28"/>
        </w:rPr>
        <w:t>рограммы ЭПР, устанавливающи</w:t>
      </w:r>
      <w:r w:rsidR="00E94E85">
        <w:rPr>
          <w:i/>
          <w:color w:val="0070C0"/>
          <w:sz w:val="28"/>
          <w:szCs w:val="28"/>
        </w:rPr>
        <w:t>е</w:t>
      </w:r>
      <w:r w:rsidRPr="00940674">
        <w:rPr>
          <w:i/>
          <w:color w:val="0070C0"/>
          <w:sz w:val="28"/>
          <w:szCs w:val="28"/>
        </w:rPr>
        <w:t xml:space="preserve"> более подробн</w:t>
      </w:r>
      <w:r w:rsidR="001472A5">
        <w:rPr>
          <w:i/>
          <w:color w:val="0070C0"/>
          <w:sz w:val="28"/>
          <w:szCs w:val="28"/>
        </w:rPr>
        <w:t>ое</w:t>
      </w:r>
      <w:r w:rsidRPr="00940674">
        <w:rPr>
          <w:i/>
          <w:color w:val="0070C0"/>
          <w:sz w:val="28"/>
          <w:szCs w:val="28"/>
        </w:rPr>
        <w:t xml:space="preserve"> описание </w:t>
      </w:r>
      <w:r w:rsidR="00CD7A03" w:rsidRPr="00940674">
        <w:rPr>
          <w:i/>
          <w:color w:val="0070C0"/>
          <w:sz w:val="28"/>
          <w:szCs w:val="28"/>
        </w:rPr>
        <w:t>механизма использования</w:t>
      </w:r>
      <w:r w:rsidR="001472A5">
        <w:rPr>
          <w:i/>
          <w:color w:val="0070C0"/>
          <w:sz w:val="28"/>
          <w:szCs w:val="28"/>
        </w:rPr>
        <w:t xml:space="preserve"> </w:t>
      </w:r>
      <w:r w:rsidR="00CD7A03" w:rsidRPr="00940674">
        <w:rPr>
          <w:i/>
          <w:color w:val="0070C0"/>
          <w:sz w:val="28"/>
          <w:szCs w:val="28"/>
        </w:rPr>
        <w:t xml:space="preserve">(применения) цифровой </w:t>
      </w:r>
      <w:r w:rsidRPr="00940674">
        <w:rPr>
          <w:i/>
          <w:color w:val="0070C0"/>
          <w:sz w:val="28"/>
          <w:szCs w:val="28"/>
        </w:rPr>
        <w:t>инновации.</w:t>
      </w:r>
    </w:p>
    <w:p w:rsidR="00810B9A" w:rsidRPr="000A6779" w:rsidRDefault="00810B9A" w:rsidP="00A2270B">
      <w:pPr>
        <w:pStyle w:val="ConsPlusTitle"/>
        <w:spacing w:before="480" w:after="240" w:line="36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74"/>
      <w:bookmarkEnd w:id="1"/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>Глава 4. Основные этапы реализации экспериментального правового режима</w:t>
      </w:r>
    </w:p>
    <w:p w:rsidR="00810B9A" w:rsidRPr="00940674" w:rsidRDefault="00E94E85" w:rsidP="000B5A8B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>Закрепляются</w:t>
      </w:r>
      <w:r w:rsidR="001727D2" w:rsidRPr="00940674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 xml:space="preserve"> о</w:t>
      </w:r>
      <w:r w:rsidR="00810B9A" w:rsidRPr="00940674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>сновные этапы реализации ЭПР с</w:t>
      </w:r>
      <w:r w:rsidR="001727D2" w:rsidRPr="00940674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 xml:space="preserve"> указанием </w:t>
      </w:r>
      <w:r w:rsidR="00A2270B" w:rsidRPr="00940674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 xml:space="preserve">их </w:t>
      </w:r>
      <w:r w:rsidR="001727D2" w:rsidRPr="00940674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 xml:space="preserve">сроков или </w:t>
      </w:r>
      <w:r w:rsidR="006B5AC8" w:rsidRPr="00940674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>отмечается</w:t>
      </w:r>
      <w:r w:rsidR="00810B9A" w:rsidRPr="00940674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>, что реализация ЭПР не делится на этапы.</w:t>
      </w:r>
    </w:p>
    <w:p w:rsidR="00810B9A" w:rsidRPr="000A6779" w:rsidRDefault="00810B9A" w:rsidP="00A2270B">
      <w:pPr>
        <w:pStyle w:val="ConsPlusTitle"/>
        <w:spacing w:before="480" w:after="240" w:line="36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B15">
        <w:rPr>
          <w:rFonts w:ascii="Times New Roman" w:hAnsi="Times New Roman" w:cs="Times New Roman"/>
          <w:color w:val="000000" w:themeColor="text1"/>
          <w:sz w:val="28"/>
          <w:szCs w:val="28"/>
        </w:rPr>
        <w:t>Глава 5. Территория, в рамках которой устанавливается экспериментальный правовой режим, ограничения и условия</w:t>
      </w: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установления экспериментального правового режима</w:t>
      </w:r>
    </w:p>
    <w:p w:rsidR="00810B9A" w:rsidRPr="00940674" w:rsidRDefault="004D338B" w:rsidP="000B5A8B">
      <w:pPr>
        <w:pStyle w:val="ConsPlusNormal"/>
        <w:spacing w:before="240" w:line="276" w:lineRule="auto"/>
        <w:ind w:firstLine="709"/>
        <w:contextualSpacing/>
        <w:jc w:val="both"/>
        <w:rPr>
          <w:i/>
          <w:color w:val="0070C0"/>
          <w:sz w:val="28"/>
          <w:szCs w:val="28"/>
        </w:rPr>
      </w:pPr>
      <w:r w:rsidRPr="00940674">
        <w:rPr>
          <w:i/>
          <w:color w:val="0070C0"/>
          <w:sz w:val="28"/>
          <w:szCs w:val="28"/>
        </w:rPr>
        <w:t>Указывается территория действия ЭПР (например, ЭПР устанавливается на всей территории Российской Федерации)</w:t>
      </w:r>
      <w:r w:rsidR="001472A5">
        <w:rPr>
          <w:i/>
          <w:color w:val="0070C0"/>
          <w:sz w:val="28"/>
          <w:szCs w:val="28"/>
        </w:rPr>
        <w:t xml:space="preserve">, а также </w:t>
      </w:r>
      <w:r w:rsidR="001472A5" w:rsidRPr="001472A5">
        <w:rPr>
          <w:i/>
          <w:color w:val="0070C0"/>
          <w:sz w:val="28"/>
          <w:szCs w:val="28"/>
        </w:rPr>
        <w:t xml:space="preserve">ограничения и условия установления </w:t>
      </w:r>
      <w:r w:rsidR="001472A5">
        <w:rPr>
          <w:i/>
          <w:color w:val="0070C0"/>
          <w:sz w:val="28"/>
          <w:szCs w:val="28"/>
        </w:rPr>
        <w:t>такого ЭПР.</w:t>
      </w:r>
    </w:p>
    <w:p w:rsidR="00810B9A" w:rsidRPr="000A6779" w:rsidRDefault="00810B9A" w:rsidP="00A2270B">
      <w:pPr>
        <w:pStyle w:val="ConsPlusTitle"/>
        <w:spacing w:before="480" w:after="240" w:line="36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B15">
        <w:rPr>
          <w:rFonts w:ascii="Times New Roman" w:hAnsi="Times New Roman" w:cs="Times New Roman"/>
          <w:color w:val="000000"/>
          <w:sz w:val="28"/>
          <w:szCs w:val="28"/>
        </w:rPr>
        <w:t>Глава 6</w:t>
      </w:r>
      <w:r w:rsidRPr="002E5B15">
        <w:rPr>
          <w:rFonts w:ascii="Times New Roman" w:hAnsi="Times New Roman" w:cs="Times New Roman"/>
          <w:color w:val="000000" w:themeColor="text1"/>
          <w:sz w:val="28"/>
          <w:szCs w:val="28"/>
        </w:rPr>
        <w:t>. Положения (требования, предписания, запреты, ограничения) отдельных актов общего регулирования, которые не подлежат применению, а также положения, соблюдение которых является обязатель</w:t>
      </w:r>
      <w:r w:rsidR="00A67B89">
        <w:rPr>
          <w:rFonts w:ascii="Times New Roman" w:hAnsi="Times New Roman" w:cs="Times New Roman"/>
          <w:color w:val="000000" w:themeColor="text1"/>
          <w:sz w:val="28"/>
          <w:szCs w:val="28"/>
        </w:rPr>
        <w:t>ным в соответствии с настоящей п</w:t>
      </w:r>
      <w:r w:rsidRPr="002E5B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рограммой, если такие положения не предусмотрены актами </w:t>
      </w:r>
      <w:r w:rsidRPr="002E5B1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общего регулирования или отличаются от них</w:t>
      </w:r>
    </w:p>
    <w:p w:rsidR="004D338B" w:rsidRPr="00940674" w:rsidRDefault="004D338B" w:rsidP="000B5A8B">
      <w:pPr>
        <w:pStyle w:val="ConsPlusNormal"/>
        <w:spacing w:line="276" w:lineRule="auto"/>
        <w:ind w:firstLine="709"/>
        <w:contextualSpacing/>
        <w:jc w:val="both"/>
        <w:rPr>
          <w:i/>
          <w:color w:val="0070C0"/>
          <w:sz w:val="28"/>
          <w:szCs w:val="28"/>
        </w:rPr>
      </w:pPr>
      <w:r w:rsidRPr="00940674">
        <w:rPr>
          <w:i/>
          <w:color w:val="0070C0"/>
          <w:sz w:val="28"/>
          <w:szCs w:val="28"/>
        </w:rPr>
        <w:t>Указываются структурные единицы нормативных правовых актов, которые не подлежат применению в рамках ЭПР</w:t>
      </w:r>
      <w:r w:rsidR="0049243C">
        <w:rPr>
          <w:i/>
          <w:color w:val="0070C0"/>
          <w:sz w:val="28"/>
          <w:szCs w:val="28"/>
        </w:rPr>
        <w:t>, а также в данной главе устанавливается специальное регулирование (</w:t>
      </w:r>
      <w:r w:rsidR="0049243C" w:rsidRPr="0049243C">
        <w:rPr>
          <w:i/>
          <w:color w:val="0070C0"/>
          <w:sz w:val="28"/>
          <w:szCs w:val="28"/>
        </w:rPr>
        <w:t>положения, соблюдение которых является обязательным</w:t>
      </w:r>
      <w:r w:rsidR="0049243C">
        <w:rPr>
          <w:i/>
          <w:color w:val="0070C0"/>
          <w:sz w:val="28"/>
          <w:szCs w:val="28"/>
        </w:rPr>
        <w:t>,</w:t>
      </w:r>
      <w:r w:rsidR="0049243C" w:rsidRPr="0049243C">
        <w:t xml:space="preserve"> </w:t>
      </w:r>
      <w:r w:rsidR="0049243C" w:rsidRPr="0049243C">
        <w:rPr>
          <w:i/>
          <w:color w:val="0070C0"/>
          <w:sz w:val="28"/>
          <w:szCs w:val="28"/>
        </w:rPr>
        <w:t>если такие положения не предусмотрены актами общего регулирования или отличаются от них</w:t>
      </w:r>
      <w:r w:rsidR="0049243C">
        <w:rPr>
          <w:i/>
          <w:color w:val="0070C0"/>
          <w:sz w:val="28"/>
          <w:szCs w:val="28"/>
        </w:rPr>
        <w:t>).</w:t>
      </w:r>
    </w:p>
    <w:p w:rsidR="004D338B" w:rsidRPr="00940674" w:rsidRDefault="004D338B" w:rsidP="000B5A8B">
      <w:pPr>
        <w:pStyle w:val="ConsPlusNormal"/>
        <w:spacing w:line="276" w:lineRule="auto"/>
        <w:ind w:firstLine="709"/>
        <w:contextualSpacing/>
        <w:jc w:val="both"/>
        <w:rPr>
          <w:i/>
          <w:color w:val="0070C0"/>
          <w:sz w:val="28"/>
          <w:szCs w:val="28"/>
        </w:rPr>
      </w:pPr>
      <w:r w:rsidRPr="00940674">
        <w:rPr>
          <w:i/>
          <w:color w:val="0070C0"/>
          <w:sz w:val="28"/>
          <w:szCs w:val="28"/>
        </w:rPr>
        <w:t xml:space="preserve">В отношении каждого вида субъектов ЭПР (в случае если их несколько) указываются </w:t>
      </w:r>
      <w:r w:rsidR="0049243C">
        <w:rPr>
          <w:i/>
          <w:color w:val="0070C0"/>
          <w:sz w:val="28"/>
          <w:szCs w:val="28"/>
        </w:rPr>
        <w:t xml:space="preserve">их </w:t>
      </w:r>
      <w:r w:rsidRPr="00940674">
        <w:rPr>
          <w:i/>
          <w:color w:val="0070C0"/>
          <w:sz w:val="28"/>
          <w:szCs w:val="28"/>
        </w:rPr>
        <w:t xml:space="preserve">права, обязанности и функции в рамках ЭПР. </w:t>
      </w:r>
    </w:p>
    <w:p w:rsidR="00810B9A" w:rsidRPr="000A6779" w:rsidRDefault="00810B9A" w:rsidP="00A2270B">
      <w:pPr>
        <w:pStyle w:val="ConsPlusTitle"/>
        <w:spacing w:before="480" w:after="240" w:line="36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B15">
        <w:rPr>
          <w:rFonts w:ascii="Times New Roman" w:hAnsi="Times New Roman" w:cs="Times New Roman"/>
          <w:color w:val="000000"/>
          <w:sz w:val="28"/>
          <w:szCs w:val="28"/>
        </w:rPr>
        <w:t>Глава 7</w:t>
      </w:r>
      <w:r w:rsidRPr="002E5B15">
        <w:rPr>
          <w:rFonts w:ascii="Times New Roman" w:hAnsi="Times New Roman" w:cs="Times New Roman"/>
          <w:color w:val="000000" w:themeColor="text1"/>
          <w:sz w:val="28"/>
          <w:szCs w:val="28"/>
        </w:rPr>
        <w:t>. Ограничения объема отдельных</w:t>
      </w: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финансовых операций и общего объема финансовых операций, осуществляемых в рамках эксп</w:t>
      </w:r>
      <w:r w:rsidR="00C34F96">
        <w:rPr>
          <w:rFonts w:ascii="Times New Roman" w:hAnsi="Times New Roman" w:cs="Times New Roman"/>
          <w:color w:val="000000" w:themeColor="text1"/>
          <w:sz w:val="28"/>
          <w:szCs w:val="28"/>
        </w:rPr>
        <w:t>ериментального правового режима</w:t>
      </w:r>
    </w:p>
    <w:p w:rsidR="006B5AC8" w:rsidRPr="00940674" w:rsidRDefault="002E5B15" w:rsidP="000B5A8B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40674">
        <w:rPr>
          <w:rFonts w:ascii="Times New Roman" w:hAnsi="Times New Roman"/>
          <w:i/>
          <w:color w:val="0070C0"/>
          <w:sz w:val="28"/>
          <w:szCs w:val="28"/>
        </w:rPr>
        <w:t>Указываются</w:t>
      </w:r>
      <w:r w:rsidR="00794D79" w:rsidRPr="00940674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Pr="00940674">
        <w:rPr>
          <w:rFonts w:ascii="Times New Roman" w:hAnsi="Times New Roman"/>
          <w:i/>
          <w:color w:val="0070C0"/>
          <w:sz w:val="28"/>
          <w:szCs w:val="28"/>
        </w:rPr>
        <w:t>о</w:t>
      </w:r>
      <w:r w:rsidR="00810B9A" w:rsidRPr="00940674">
        <w:rPr>
          <w:rFonts w:ascii="Times New Roman" w:hAnsi="Times New Roman"/>
          <w:i/>
          <w:color w:val="0070C0"/>
          <w:sz w:val="28"/>
          <w:szCs w:val="28"/>
        </w:rPr>
        <w:t xml:space="preserve">граничения объема отдельных финансовых операций и общего объема финансовых операций, осуществляемых в рамках </w:t>
      </w:r>
      <w:r w:rsidR="00F07833" w:rsidRPr="00940674">
        <w:rPr>
          <w:rFonts w:ascii="Times New Roman" w:hAnsi="Times New Roman"/>
          <w:i/>
          <w:color w:val="0070C0"/>
          <w:sz w:val="28"/>
          <w:szCs w:val="28"/>
        </w:rPr>
        <w:t>ЭПР</w:t>
      </w:r>
      <w:r w:rsidR="00810B9A" w:rsidRPr="00940674">
        <w:rPr>
          <w:rFonts w:ascii="Times New Roman" w:hAnsi="Times New Roman"/>
          <w:i/>
          <w:color w:val="0070C0"/>
          <w:sz w:val="28"/>
          <w:szCs w:val="28"/>
        </w:rPr>
        <w:t>, включая</w:t>
      </w:r>
      <w:r w:rsidR="006B5AC8" w:rsidRPr="00940674">
        <w:rPr>
          <w:rFonts w:ascii="Times New Roman" w:hAnsi="Times New Roman"/>
          <w:i/>
          <w:color w:val="0070C0"/>
          <w:sz w:val="28"/>
          <w:szCs w:val="28"/>
        </w:rPr>
        <w:t>:</w:t>
      </w:r>
    </w:p>
    <w:p w:rsidR="006B5AC8" w:rsidRPr="00280072" w:rsidRDefault="00810B9A" w:rsidP="00280072">
      <w:pPr>
        <w:pStyle w:val="ae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280072">
        <w:rPr>
          <w:rFonts w:ascii="Times New Roman" w:hAnsi="Times New Roman"/>
          <w:i/>
          <w:color w:val="0070C0"/>
          <w:sz w:val="28"/>
          <w:szCs w:val="28"/>
        </w:rPr>
        <w:t xml:space="preserve">объем привлекаемых денежных средств и (или) иных активов, </w:t>
      </w:r>
    </w:p>
    <w:p w:rsidR="006B5AC8" w:rsidRPr="00280072" w:rsidRDefault="00810B9A" w:rsidP="00280072">
      <w:pPr>
        <w:pStyle w:val="ae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280072">
        <w:rPr>
          <w:rFonts w:ascii="Times New Roman" w:hAnsi="Times New Roman"/>
          <w:i/>
          <w:color w:val="0070C0"/>
          <w:sz w:val="28"/>
          <w:szCs w:val="28"/>
        </w:rPr>
        <w:t xml:space="preserve">количества лиц, в отношении которых могут осуществляться эти финансовые операции в течение срока действия </w:t>
      </w:r>
      <w:r w:rsidR="00F07833" w:rsidRPr="00280072">
        <w:rPr>
          <w:rFonts w:ascii="Times New Roman" w:hAnsi="Times New Roman"/>
          <w:i/>
          <w:color w:val="0070C0"/>
          <w:sz w:val="28"/>
          <w:szCs w:val="28"/>
        </w:rPr>
        <w:t>ЭПР</w:t>
      </w:r>
      <w:r w:rsidRPr="00280072">
        <w:rPr>
          <w:rFonts w:ascii="Times New Roman" w:hAnsi="Times New Roman"/>
          <w:i/>
          <w:color w:val="0070C0"/>
          <w:sz w:val="28"/>
          <w:szCs w:val="28"/>
        </w:rPr>
        <w:t xml:space="preserve"> или в соответствующую единицу времени, </w:t>
      </w:r>
    </w:p>
    <w:p w:rsidR="006B5AC8" w:rsidRPr="00280072" w:rsidRDefault="00810B9A" w:rsidP="00280072">
      <w:pPr>
        <w:pStyle w:val="ae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280072">
        <w:rPr>
          <w:rFonts w:ascii="Times New Roman" w:hAnsi="Times New Roman"/>
          <w:i/>
          <w:color w:val="0070C0"/>
          <w:sz w:val="28"/>
          <w:szCs w:val="28"/>
        </w:rPr>
        <w:t xml:space="preserve">виды финансовых операций, осуществляемых в рамках </w:t>
      </w:r>
      <w:r w:rsidR="00F07833" w:rsidRPr="00280072">
        <w:rPr>
          <w:rFonts w:ascii="Times New Roman" w:hAnsi="Times New Roman"/>
          <w:i/>
          <w:color w:val="0070C0"/>
          <w:sz w:val="28"/>
          <w:szCs w:val="28"/>
        </w:rPr>
        <w:t>ЭПР</w:t>
      </w:r>
      <w:r w:rsidRPr="00280072">
        <w:rPr>
          <w:rFonts w:ascii="Times New Roman" w:hAnsi="Times New Roman"/>
          <w:i/>
          <w:color w:val="0070C0"/>
          <w:sz w:val="28"/>
          <w:szCs w:val="28"/>
        </w:rPr>
        <w:t xml:space="preserve">, </w:t>
      </w:r>
    </w:p>
    <w:p w:rsidR="00794D79" w:rsidRPr="00280072" w:rsidRDefault="00810B9A" w:rsidP="00280072">
      <w:pPr>
        <w:pStyle w:val="ae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280072">
        <w:rPr>
          <w:rFonts w:ascii="Times New Roman" w:hAnsi="Times New Roman"/>
          <w:i/>
          <w:color w:val="0070C0"/>
          <w:sz w:val="28"/>
          <w:szCs w:val="28"/>
        </w:rPr>
        <w:t xml:space="preserve">виды и перечни активов, </w:t>
      </w:r>
    </w:p>
    <w:p w:rsidR="00810B9A" w:rsidRPr="00280072" w:rsidRDefault="00810B9A" w:rsidP="00280072">
      <w:pPr>
        <w:pStyle w:val="ae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280072">
        <w:rPr>
          <w:rFonts w:ascii="Times New Roman" w:hAnsi="Times New Roman"/>
          <w:i/>
          <w:color w:val="0070C0"/>
          <w:sz w:val="28"/>
          <w:szCs w:val="28"/>
        </w:rPr>
        <w:t>категории лиц, с которыми могут осуществляться данные финансовые операции (при наличии ограничений).</w:t>
      </w:r>
    </w:p>
    <w:p w:rsidR="00810B9A" w:rsidRPr="000A6779" w:rsidRDefault="00810B9A" w:rsidP="00A2270B">
      <w:pPr>
        <w:pStyle w:val="ConsPlusTitle"/>
        <w:spacing w:before="480" w:after="240" w:line="36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779">
        <w:rPr>
          <w:rFonts w:ascii="Times New Roman" w:hAnsi="Times New Roman" w:cs="Times New Roman"/>
          <w:color w:val="000000"/>
          <w:sz w:val="28"/>
          <w:szCs w:val="28"/>
        </w:rPr>
        <w:t>Глава 8</w:t>
      </w:r>
      <w:r w:rsidRPr="00794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Оценка рисков, </w:t>
      </w:r>
      <w:r w:rsidR="00C5537B" w:rsidRPr="00794D7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5537B"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</w:t>
      </w: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>меры, направленные на их минимизацию и обязательные для осуществления субъектами экспериментального правового режима</w:t>
      </w:r>
    </w:p>
    <w:p w:rsidR="00794D79" w:rsidRPr="00940674" w:rsidRDefault="0049243C" w:rsidP="000B5A8B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color w:val="0070C0"/>
          <w:sz w:val="28"/>
          <w:szCs w:val="28"/>
        </w:rPr>
      </w:pPr>
      <w:r>
        <w:rPr>
          <w:rFonts w:ascii="Times New Roman" w:hAnsi="Times New Roman"/>
          <w:i/>
          <w:color w:val="0070C0"/>
          <w:sz w:val="28"/>
          <w:szCs w:val="28"/>
        </w:rPr>
        <w:t>Указываются</w:t>
      </w:r>
      <w:r w:rsidRPr="00940674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70C0"/>
          <w:sz w:val="28"/>
          <w:szCs w:val="28"/>
        </w:rPr>
        <w:t>типы</w:t>
      </w:r>
      <w:r w:rsidRPr="00940674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794D79" w:rsidRPr="00940674">
        <w:rPr>
          <w:rFonts w:ascii="Times New Roman" w:hAnsi="Times New Roman"/>
          <w:i/>
          <w:color w:val="0070C0"/>
          <w:sz w:val="28"/>
          <w:szCs w:val="28"/>
        </w:rPr>
        <w:t>риск</w:t>
      </w:r>
      <w:r>
        <w:rPr>
          <w:rFonts w:ascii="Times New Roman" w:hAnsi="Times New Roman"/>
          <w:i/>
          <w:color w:val="0070C0"/>
          <w:sz w:val="28"/>
          <w:szCs w:val="28"/>
        </w:rPr>
        <w:t xml:space="preserve">ов, их краткое описание и вероятность их возникновения </w:t>
      </w:r>
      <w:r w:rsidRPr="0049243C">
        <w:rPr>
          <w:rFonts w:ascii="Times New Roman" w:hAnsi="Times New Roman"/>
          <w:i/>
          <w:color w:val="0070C0"/>
          <w:sz w:val="28"/>
          <w:szCs w:val="28"/>
        </w:rPr>
        <w:t>в соответст</w:t>
      </w:r>
      <w:r>
        <w:rPr>
          <w:rFonts w:ascii="Times New Roman" w:hAnsi="Times New Roman"/>
          <w:i/>
          <w:color w:val="0070C0"/>
          <w:sz w:val="28"/>
          <w:szCs w:val="28"/>
        </w:rPr>
        <w:t>вии с приведенной ниже таблицей</w:t>
      </w:r>
      <w:r w:rsidR="00794D79" w:rsidRPr="00940674">
        <w:rPr>
          <w:rFonts w:ascii="Times New Roman" w:hAnsi="Times New Roman"/>
          <w:i/>
          <w:color w:val="0070C0"/>
          <w:sz w:val="28"/>
          <w:szCs w:val="28"/>
        </w:rPr>
        <w:t>:</w:t>
      </w:r>
    </w:p>
    <w:p w:rsidR="00794D79" w:rsidRPr="00940674" w:rsidRDefault="00810B9A" w:rsidP="000B5A8B">
      <w:pPr>
        <w:pStyle w:val="ae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40674">
        <w:rPr>
          <w:rFonts w:ascii="Times New Roman" w:hAnsi="Times New Roman"/>
          <w:i/>
          <w:color w:val="0070C0"/>
          <w:sz w:val="28"/>
          <w:szCs w:val="28"/>
        </w:rPr>
        <w:t>операционны</w:t>
      </w:r>
      <w:r w:rsidR="0049243C">
        <w:rPr>
          <w:rFonts w:ascii="Times New Roman" w:hAnsi="Times New Roman"/>
          <w:i/>
          <w:color w:val="0070C0"/>
          <w:sz w:val="28"/>
          <w:szCs w:val="28"/>
        </w:rPr>
        <w:t>е</w:t>
      </w:r>
      <w:r w:rsidR="00B16CD6">
        <w:rPr>
          <w:rFonts w:ascii="Times New Roman" w:hAnsi="Times New Roman"/>
          <w:i/>
          <w:color w:val="0070C0"/>
          <w:sz w:val="28"/>
          <w:szCs w:val="28"/>
        </w:rPr>
        <w:t xml:space="preserve"> риски</w:t>
      </w:r>
      <w:r w:rsidRPr="00940674">
        <w:rPr>
          <w:rFonts w:ascii="Times New Roman" w:hAnsi="Times New Roman"/>
          <w:i/>
          <w:color w:val="0070C0"/>
          <w:sz w:val="28"/>
          <w:szCs w:val="28"/>
        </w:rPr>
        <w:t xml:space="preserve">, </w:t>
      </w:r>
    </w:p>
    <w:p w:rsidR="00794D79" w:rsidRPr="00940674" w:rsidRDefault="00810B9A" w:rsidP="000B5A8B">
      <w:pPr>
        <w:pStyle w:val="ae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40674">
        <w:rPr>
          <w:rFonts w:ascii="Times New Roman" w:hAnsi="Times New Roman"/>
          <w:i/>
          <w:color w:val="0070C0"/>
          <w:sz w:val="28"/>
          <w:szCs w:val="28"/>
        </w:rPr>
        <w:t>правовы</w:t>
      </w:r>
      <w:r w:rsidR="0049243C">
        <w:rPr>
          <w:rFonts w:ascii="Times New Roman" w:hAnsi="Times New Roman"/>
          <w:i/>
          <w:color w:val="0070C0"/>
          <w:sz w:val="28"/>
          <w:szCs w:val="28"/>
        </w:rPr>
        <w:t>е</w:t>
      </w:r>
      <w:r w:rsidR="00B16CD6">
        <w:rPr>
          <w:rFonts w:ascii="Times New Roman" w:hAnsi="Times New Roman"/>
          <w:i/>
          <w:color w:val="0070C0"/>
          <w:sz w:val="28"/>
          <w:szCs w:val="28"/>
        </w:rPr>
        <w:t xml:space="preserve"> риски</w:t>
      </w:r>
      <w:r w:rsidRPr="00940674">
        <w:rPr>
          <w:rFonts w:ascii="Times New Roman" w:hAnsi="Times New Roman"/>
          <w:i/>
          <w:color w:val="0070C0"/>
          <w:sz w:val="28"/>
          <w:szCs w:val="28"/>
        </w:rPr>
        <w:t xml:space="preserve">, </w:t>
      </w:r>
    </w:p>
    <w:p w:rsidR="00794D79" w:rsidRPr="00940674" w:rsidRDefault="00810B9A" w:rsidP="000B5A8B">
      <w:pPr>
        <w:pStyle w:val="ae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40674">
        <w:rPr>
          <w:rFonts w:ascii="Times New Roman" w:hAnsi="Times New Roman"/>
          <w:i/>
          <w:color w:val="0070C0"/>
          <w:sz w:val="28"/>
          <w:szCs w:val="28"/>
        </w:rPr>
        <w:t>финансовы</w:t>
      </w:r>
      <w:r w:rsidR="0049243C">
        <w:rPr>
          <w:rFonts w:ascii="Times New Roman" w:hAnsi="Times New Roman"/>
          <w:i/>
          <w:color w:val="0070C0"/>
          <w:sz w:val="28"/>
          <w:szCs w:val="28"/>
        </w:rPr>
        <w:t>е</w:t>
      </w:r>
      <w:r w:rsidR="00B16CD6">
        <w:rPr>
          <w:rFonts w:ascii="Times New Roman" w:hAnsi="Times New Roman"/>
          <w:i/>
          <w:color w:val="0070C0"/>
          <w:sz w:val="28"/>
          <w:szCs w:val="28"/>
        </w:rPr>
        <w:t xml:space="preserve"> риски</w:t>
      </w:r>
      <w:r w:rsidRPr="00940674">
        <w:rPr>
          <w:rFonts w:ascii="Times New Roman" w:hAnsi="Times New Roman"/>
          <w:i/>
          <w:color w:val="0070C0"/>
          <w:sz w:val="28"/>
          <w:szCs w:val="28"/>
        </w:rPr>
        <w:t xml:space="preserve">, </w:t>
      </w:r>
    </w:p>
    <w:p w:rsidR="00794D79" w:rsidRPr="00940674" w:rsidRDefault="00810B9A" w:rsidP="000B5A8B">
      <w:pPr>
        <w:pStyle w:val="ae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40674">
        <w:rPr>
          <w:rFonts w:ascii="Times New Roman" w:hAnsi="Times New Roman"/>
          <w:i/>
          <w:color w:val="0070C0"/>
          <w:sz w:val="28"/>
          <w:szCs w:val="28"/>
        </w:rPr>
        <w:t>риск потери деловой репутации (</w:t>
      </w:r>
      <w:proofErr w:type="spellStart"/>
      <w:r w:rsidRPr="00940674">
        <w:rPr>
          <w:rFonts w:ascii="Times New Roman" w:hAnsi="Times New Roman"/>
          <w:i/>
          <w:color w:val="0070C0"/>
          <w:sz w:val="28"/>
          <w:szCs w:val="28"/>
        </w:rPr>
        <w:t>репутационны</w:t>
      </w:r>
      <w:r w:rsidR="0049243C">
        <w:rPr>
          <w:rFonts w:ascii="Times New Roman" w:hAnsi="Times New Roman"/>
          <w:i/>
          <w:color w:val="0070C0"/>
          <w:sz w:val="28"/>
          <w:szCs w:val="28"/>
        </w:rPr>
        <w:t>е</w:t>
      </w:r>
      <w:proofErr w:type="spellEnd"/>
      <w:r w:rsidRPr="00940674">
        <w:rPr>
          <w:rFonts w:ascii="Times New Roman" w:hAnsi="Times New Roman"/>
          <w:i/>
          <w:color w:val="0070C0"/>
          <w:sz w:val="28"/>
          <w:szCs w:val="28"/>
        </w:rPr>
        <w:t xml:space="preserve"> риск</w:t>
      </w:r>
      <w:r w:rsidR="0049243C">
        <w:rPr>
          <w:rFonts w:ascii="Times New Roman" w:hAnsi="Times New Roman"/>
          <w:i/>
          <w:color w:val="0070C0"/>
          <w:sz w:val="28"/>
          <w:szCs w:val="28"/>
        </w:rPr>
        <w:t>и</w:t>
      </w:r>
      <w:r w:rsidRPr="00940674">
        <w:rPr>
          <w:rFonts w:ascii="Times New Roman" w:hAnsi="Times New Roman"/>
          <w:i/>
          <w:color w:val="0070C0"/>
          <w:sz w:val="28"/>
          <w:szCs w:val="28"/>
        </w:rPr>
        <w:t xml:space="preserve">), </w:t>
      </w:r>
    </w:p>
    <w:p w:rsidR="00794D79" w:rsidRPr="00940674" w:rsidRDefault="0049243C" w:rsidP="000B5A8B">
      <w:pPr>
        <w:pStyle w:val="ae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>
        <w:rPr>
          <w:rFonts w:ascii="Times New Roman" w:hAnsi="Times New Roman"/>
          <w:i/>
          <w:color w:val="0070C0"/>
          <w:sz w:val="28"/>
          <w:szCs w:val="28"/>
        </w:rPr>
        <w:lastRenderedPageBreak/>
        <w:t xml:space="preserve">риск </w:t>
      </w:r>
      <w:r w:rsidR="00810B9A" w:rsidRPr="00940674">
        <w:rPr>
          <w:rFonts w:ascii="Times New Roman" w:hAnsi="Times New Roman"/>
          <w:i/>
          <w:color w:val="0070C0"/>
          <w:sz w:val="28"/>
          <w:szCs w:val="28"/>
        </w:rPr>
        <w:t xml:space="preserve">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уничтожения, </w:t>
      </w:r>
    </w:p>
    <w:p w:rsidR="00794D79" w:rsidRPr="00940674" w:rsidRDefault="0049243C" w:rsidP="000B5A8B">
      <w:pPr>
        <w:pStyle w:val="ae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>
        <w:rPr>
          <w:rFonts w:ascii="Times New Roman" w:hAnsi="Times New Roman"/>
          <w:i/>
          <w:color w:val="0070C0"/>
          <w:sz w:val="28"/>
          <w:szCs w:val="28"/>
        </w:rPr>
        <w:t xml:space="preserve">риск </w:t>
      </w:r>
      <w:r w:rsidR="00810B9A" w:rsidRPr="00940674">
        <w:rPr>
          <w:rFonts w:ascii="Times New Roman" w:hAnsi="Times New Roman"/>
          <w:i/>
          <w:color w:val="0070C0"/>
          <w:sz w:val="28"/>
          <w:szCs w:val="28"/>
        </w:rPr>
        <w:t>разглашения сведений, составляющих банковскую тайну, тайну страхования и иную охраняемую законом тайну, разглашения конфиденциальной и иной информации, отнесенной в соответствии с законодательством Российской Федерации к информации ограниченного досту</w:t>
      </w:r>
      <w:r w:rsidR="00794D79" w:rsidRPr="00940674">
        <w:rPr>
          <w:rFonts w:ascii="Times New Roman" w:hAnsi="Times New Roman"/>
          <w:i/>
          <w:color w:val="0070C0"/>
          <w:sz w:val="28"/>
          <w:szCs w:val="28"/>
        </w:rPr>
        <w:t>па,</w:t>
      </w:r>
    </w:p>
    <w:p w:rsidR="00794D79" w:rsidRPr="00940674" w:rsidRDefault="0049243C" w:rsidP="000B5A8B">
      <w:pPr>
        <w:pStyle w:val="ae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>
        <w:rPr>
          <w:rFonts w:ascii="Times New Roman" w:hAnsi="Times New Roman"/>
          <w:i/>
          <w:color w:val="0070C0"/>
          <w:sz w:val="28"/>
          <w:szCs w:val="28"/>
        </w:rPr>
        <w:t xml:space="preserve">риск </w:t>
      </w:r>
      <w:r w:rsidR="00810B9A" w:rsidRPr="00940674">
        <w:rPr>
          <w:rFonts w:ascii="Times New Roman" w:hAnsi="Times New Roman"/>
          <w:i/>
          <w:color w:val="0070C0"/>
          <w:sz w:val="28"/>
          <w:szCs w:val="28"/>
        </w:rPr>
        <w:t xml:space="preserve">нарушения требований к защите информации, </w:t>
      </w:r>
    </w:p>
    <w:p w:rsidR="00794D79" w:rsidRPr="00940674" w:rsidRDefault="0049243C" w:rsidP="000B5A8B">
      <w:pPr>
        <w:pStyle w:val="ae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>
        <w:rPr>
          <w:rFonts w:ascii="Times New Roman" w:hAnsi="Times New Roman"/>
          <w:i/>
          <w:color w:val="0070C0"/>
          <w:sz w:val="28"/>
          <w:szCs w:val="28"/>
        </w:rPr>
        <w:t xml:space="preserve">риск </w:t>
      </w:r>
      <w:r w:rsidR="00810B9A" w:rsidRPr="00940674">
        <w:rPr>
          <w:rFonts w:ascii="Times New Roman" w:hAnsi="Times New Roman"/>
          <w:i/>
          <w:color w:val="0070C0"/>
          <w:sz w:val="28"/>
          <w:szCs w:val="28"/>
        </w:rPr>
        <w:t xml:space="preserve">нарушения прав и законных интересов страхователей, застрахованных лиц, выгодоприобретателей, инвесторов, кредиторов и вкладчиков, </w:t>
      </w:r>
    </w:p>
    <w:p w:rsidR="00794D79" w:rsidRPr="00940674" w:rsidRDefault="0049243C" w:rsidP="000B5A8B">
      <w:pPr>
        <w:pStyle w:val="ae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>
        <w:rPr>
          <w:rFonts w:ascii="Times New Roman" w:hAnsi="Times New Roman"/>
          <w:i/>
          <w:color w:val="0070C0"/>
          <w:sz w:val="28"/>
          <w:szCs w:val="28"/>
        </w:rPr>
        <w:t xml:space="preserve">риск </w:t>
      </w:r>
      <w:r w:rsidR="00810B9A" w:rsidRPr="00940674">
        <w:rPr>
          <w:rFonts w:ascii="Times New Roman" w:hAnsi="Times New Roman"/>
          <w:i/>
          <w:color w:val="0070C0"/>
          <w:sz w:val="28"/>
          <w:szCs w:val="28"/>
        </w:rPr>
        <w:t xml:space="preserve">причинения вреда жизни, здоровью или имуществу человека либо имуществу юридического лица, ущерба обороне и (или) безопасности государства, иным охраняемым федеральным законом ценностям, </w:t>
      </w:r>
    </w:p>
    <w:p w:rsidR="0049243C" w:rsidRDefault="00794D79" w:rsidP="000B5A8B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40674">
        <w:rPr>
          <w:rFonts w:ascii="Times New Roman" w:hAnsi="Times New Roman"/>
          <w:i/>
          <w:color w:val="0070C0"/>
          <w:sz w:val="28"/>
          <w:szCs w:val="28"/>
        </w:rPr>
        <w:t>В отношении выявленных рисков указываются</w:t>
      </w:r>
      <w:r w:rsidR="0049243C">
        <w:rPr>
          <w:rFonts w:ascii="Times New Roman" w:hAnsi="Times New Roman"/>
          <w:i/>
          <w:color w:val="0070C0"/>
          <w:sz w:val="28"/>
          <w:szCs w:val="28"/>
        </w:rPr>
        <w:t xml:space="preserve"> также</w:t>
      </w:r>
      <w:r w:rsidRPr="00940674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810B9A" w:rsidRPr="00940674">
        <w:rPr>
          <w:rFonts w:ascii="Times New Roman" w:hAnsi="Times New Roman"/>
          <w:i/>
          <w:color w:val="0070C0"/>
          <w:sz w:val="28"/>
          <w:szCs w:val="28"/>
        </w:rPr>
        <w:t xml:space="preserve">меры, направленные на минимизацию таких рисков и обязательные для осуществления субъектами </w:t>
      </w:r>
      <w:r w:rsidR="00F07833" w:rsidRPr="00940674">
        <w:rPr>
          <w:rFonts w:ascii="Times New Roman" w:hAnsi="Times New Roman"/>
          <w:i/>
          <w:color w:val="0070C0"/>
          <w:sz w:val="28"/>
          <w:szCs w:val="28"/>
        </w:rPr>
        <w:t>ЭПР</w:t>
      </w:r>
      <w:r w:rsidR="0049243C">
        <w:rPr>
          <w:rFonts w:ascii="Times New Roman" w:hAnsi="Times New Roman"/>
          <w:i/>
          <w:color w:val="0070C0"/>
          <w:sz w:val="28"/>
          <w:szCs w:val="28"/>
        </w:rPr>
        <w:t>.</w:t>
      </w:r>
    </w:p>
    <w:p w:rsidR="00B16CD6" w:rsidRDefault="00B16CD6" w:rsidP="000B5A8B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color w:val="0070C0"/>
          <w:sz w:val="28"/>
          <w:szCs w:val="28"/>
        </w:rPr>
      </w:pPr>
    </w:p>
    <w:p w:rsidR="00810B9A" w:rsidRPr="00940674" w:rsidRDefault="00B16CD6" w:rsidP="00C70095">
      <w:pPr>
        <w:spacing w:line="276" w:lineRule="auto"/>
        <w:ind w:firstLine="709"/>
        <w:contextualSpacing/>
        <w:jc w:val="right"/>
        <w:rPr>
          <w:rFonts w:ascii="Times New Roman" w:hAnsi="Times New Roman"/>
          <w:i/>
          <w:color w:val="0070C0"/>
          <w:sz w:val="28"/>
          <w:szCs w:val="28"/>
        </w:rPr>
      </w:pPr>
      <w:r>
        <w:rPr>
          <w:rFonts w:ascii="Times New Roman" w:hAnsi="Times New Roman"/>
          <w:i/>
          <w:color w:val="0070C0"/>
          <w:sz w:val="28"/>
          <w:szCs w:val="28"/>
        </w:rPr>
        <w:t>Пример таблицы</w:t>
      </w:r>
    </w:p>
    <w:tbl>
      <w:tblPr>
        <w:tblStyle w:val="1"/>
        <w:tblW w:w="10251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520"/>
        <w:gridCol w:w="2874"/>
        <w:gridCol w:w="3055"/>
      </w:tblGrid>
      <w:tr w:rsidR="00810B9A" w:rsidRPr="000A6779" w:rsidTr="00B16CD6">
        <w:trPr>
          <w:trHeight w:val="2011"/>
        </w:trPr>
        <w:tc>
          <w:tcPr>
            <w:tcW w:w="817" w:type="dxa"/>
            <w:vAlign w:val="center"/>
          </w:tcPr>
          <w:p w:rsidR="00810B9A" w:rsidRPr="000A6779" w:rsidRDefault="00810B9A" w:rsidP="00C70095">
            <w:pPr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A677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№№</w:t>
            </w:r>
          </w:p>
        </w:tc>
        <w:tc>
          <w:tcPr>
            <w:tcW w:w="1985" w:type="dxa"/>
            <w:vAlign w:val="center"/>
          </w:tcPr>
          <w:p w:rsidR="00810B9A" w:rsidRPr="000A6779" w:rsidRDefault="00810B9A" w:rsidP="00C7009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A6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Описание риска</w:t>
            </w:r>
          </w:p>
        </w:tc>
        <w:tc>
          <w:tcPr>
            <w:tcW w:w="1520" w:type="dxa"/>
            <w:vAlign w:val="center"/>
          </w:tcPr>
          <w:p w:rsidR="00810B9A" w:rsidRPr="000A6779" w:rsidRDefault="00810B9A" w:rsidP="00C70095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A67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Субъект</w:t>
            </w:r>
          </w:p>
        </w:tc>
        <w:tc>
          <w:tcPr>
            <w:tcW w:w="2874" w:type="dxa"/>
            <w:vAlign w:val="center"/>
          </w:tcPr>
          <w:p w:rsidR="00810B9A" w:rsidRPr="000A6779" w:rsidRDefault="00810B9A" w:rsidP="00C70095">
            <w:pPr>
              <w:ind w:firstLine="11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A677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Вероятность возникновения</w:t>
            </w:r>
          </w:p>
          <w:p w:rsidR="00810B9A" w:rsidRPr="000A6779" w:rsidRDefault="00810B9A" w:rsidP="00C70095">
            <w:pPr>
              <w:ind w:firstLine="11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A677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(низкая, средняя, высокая)</w:t>
            </w:r>
          </w:p>
        </w:tc>
        <w:tc>
          <w:tcPr>
            <w:tcW w:w="3055" w:type="dxa"/>
            <w:vAlign w:val="center"/>
          </w:tcPr>
          <w:p w:rsidR="00810B9A" w:rsidRPr="000A6779" w:rsidRDefault="00810B9A" w:rsidP="00C70095">
            <w:pPr>
              <w:ind w:firstLine="9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A677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Способ минимизации</w:t>
            </w:r>
          </w:p>
        </w:tc>
      </w:tr>
      <w:tr w:rsidR="00810B9A" w:rsidRPr="000A6779" w:rsidTr="00157B1B">
        <w:trPr>
          <w:trHeight w:val="662"/>
        </w:trPr>
        <w:tc>
          <w:tcPr>
            <w:tcW w:w="10251" w:type="dxa"/>
            <w:gridSpan w:val="5"/>
            <w:vAlign w:val="center"/>
          </w:tcPr>
          <w:p w:rsidR="00810B9A" w:rsidRPr="000A6779" w:rsidRDefault="00810B9A" w:rsidP="00810B9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77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Операционные риски</w:t>
            </w:r>
          </w:p>
        </w:tc>
      </w:tr>
      <w:tr w:rsidR="00810B9A" w:rsidRPr="000A6779" w:rsidTr="00157B1B">
        <w:trPr>
          <w:trHeight w:val="337"/>
        </w:trPr>
        <w:tc>
          <w:tcPr>
            <w:tcW w:w="817" w:type="dxa"/>
          </w:tcPr>
          <w:p w:rsidR="00810B9A" w:rsidRPr="000A6779" w:rsidRDefault="00810B9A" w:rsidP="00157B1B">
            <w:pPr>
              <w:ind w:left="-709"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77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1985" w:type="dxa"/>
          </w:tcPr>
          <w:p w:rsidR="00810B9A" w:rsidRPr="000A6779" w:rsidRDefault="00810B9A" w:rsidP="00157B1B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:rsidR="00810B9A" w:rsidRPr="000A6779" w:rsidRDefault="00810B9A" w:rsidP="00157B1B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4" w:type="dxa"/>
          </w:tcPr>
          <w:p w:rsidR="00810B9A" w:rsidRPr="000A6779" w:rsidRDefault="00810B9A" w:rsidP="00157B1B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55" w:type="dxa"/>
          </w:tcPr>
          <w:p w:rsidR="00810B9A" w:rsidRPr="000A6779" w:rsidRDefault="00810B9A" w:rsidP="00157B1B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94D79" w:rsidRPr="000A6779" w:rsidTr="002E76C7">
        <w:trPr>
          <w:trHeight w:val="337"/>
        </w:trPr>
        <w:tc>
          <w:tcPr>
            <w:tcW w:w="10251" w:type="dxa"/>
            <w:gridSpan w:val="5"/>
          </w:tcPr>
          <w:p w:rsidR="00794D79" w:rsidRPr="00794D79" w:rsidRDefault="00794D79" w:rsidP="00794D79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…</w:t>
            </w:r>
          </w:p>
        </w:tc>
      </w:tr>
      <w:tr w:rsidR="00794D79" w:rsidRPr="000A6779" w:rsidTr="00157B1B">
        <w:trPr>
          <w:trHeight w:val="337"/>
        </w:trPr>
        <w:tc>
          <w:tcPr>
            <w:tcW w:w="817" w:type="dxa"/>
          </w:tcPr>
          <w:p w:rsidR="00794D79" w:rsidRPr="000A6779" w:rsidRDefault="00794D79" w:rsidP="00157B1B">
            <w:pPr>
              <w:ind w:left="-709"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794D79" w:rsidRPr="000A6779" w:rsidRDefault="00794D79" w:rsidP="00157B1B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0" w:type="dxa"/>
          </w:tcPr>
          <w:p w:rsidR="00794D79" w:rsidRPr="000A6779" w:rsidRDefault="00794D79" w:rsidP="00157B1B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4" w:type="dxa"/>
          </w:tcPr>
          <w:p w:rsidR="00794D79" w:rsidRPr="000A6779" w:rsidRDefault="00794D79" w:rsidP="00157B1B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55" w:type="dxa"/>
          </w:tcPr>
          <w:p w:rsidR="00794D79" w:rsidRPr="000A6779" w:rsidRDefault="00794D79" w:rsidP="00157B1B">
            <w:pPr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10B9A" w:rsidRPr="000A6779" w:rsidRDefault="00810B9A" w:rsidP="00A2270B">
      <w:pPr>
        <w:pStyle w:val="ConsPlusTitle"/>
        <w:spacing w:before="480" w:after="240" w:line="36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779">
        <w:rPr>
          <w:rFonts w:ascii="Times New Roman" w:hAnsi="Times New Roman" w:cs="Times New Roman"/>
          <w:color w:val="000000"/>
          <w:sz w:val="28"/>
          <w:szCs w:val="28"/>
        </w:rPr>
        <w:t>Глава 9</w:t>
      </w: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94D79">
        <w:rPr>
          <w:rFonts w:ascii="Times New Roman" w:hAnsi="Times New Roman" w:cs="Times New Roman"/>
          <w:color w:val="000000" w:themeColor="text1"/>
          <w:sz w:val="28"/>
          <w:szCs w:val="28"/>
        </w:rPr>
        <w:t>Условия о возможности присоединения иных субъектов к экспериментальному правовому режиму, порядок их присоединения и требования, которым субъекты</w:t>
      </w: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экспериментального правового режима должны соответствовать</w:t>
      </w:r>
    </w:p>
    <w:p w:rsidR="006C7121" w:rsidRPr="00940674" w:rsidRDefault="006C7121" w:rsidP="000B5A8B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40674">
        <w:rPr>
          <w:rFonts w:ascii="Times New Roman" w:hAnsi="Times New Roman"/>
          <w:i/>
          <w:color w:val="0070C0"/>
          <w:sz w:val="28"/>
          <w:szCs w:val="28"/>
        </w:rPr>
        <w:t>Указываются:</w:t>
      </w:r>
    </w:p>
    <w:p w:rsidR="006C7121" w:rsidRPr="00940674" w:rsidRDefault="006C7121" w:rsidP="000B5A8B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40674">
        <w:rPr>
          <w:rFonts w:ascii="Times New Roman" w:hAnsi="Times New Roman"/>
          <w:i/>
          <w:color w:val="0070C0"/>
          <w:sz w:val="28"/>
          <w:szCs w:val="28"/>
        </w:rPr>
        <w:lastRenderedPageBreak/>
        <w:t>требования к субъектам ЭПР помимо требований</w:t>
      </w:r>
      <w:r w:rsidR="00B16CD6">
        <w:rPr>
          <w:rFonts w:ascii="Times New Roman" w:hAnsi="Times New Roman"/>
          <w:i/>
          <w:color w:val="0070C0"/>
          <w:sz w:val="28"/>
          <w:szCs w:val="28"/>
        </w:rPr>
        <w:t>, предусмотренных</w:t>
      </w:r>
      <w:r w:rsidRPr="00940674">
        <w:rPr>
          <w:rFonts w:ascii="Times New Roman" w:hAnsi="Times New Roman"/>
          <w:i/>
          <w:color w:val="0070C0"/>
          <w:sz w:val="28"/>
          <w:szCs w:val="28"/>
        </w:rPr>
        <w:t xml:space="preserve"> част</w:t>
      </w:r>
      <w:r w:rsidR="00B16CD6">
        <w:rPr>
          <w:rFonts w:ascii="Times New Roman" w:hAnsi="Times New Roman"/>
          <w:i/>
          <w:color w:val="0070C0"/>
          <w:sz w:val="28"/>
          <w:szCs w:val="28"/>
        </w:rPr>
        <w:t>ью</w:t>
      </w:r>
      <w:r w:rsidRPr="00940674">
        <w:rPr>
          <w:rFonts w:ascii="Times New Roman" w:hAnsi="Times New Roman"/>
          <w:i/>
          <w:color w:val="0070C0"/>
          <w:sz w:val="28"/>
          <w:szCs w:val="28"/>
        </w:rPr>
        <w:t xml:space="preserve"> 1 статьи 8 Федерального закона № 258-ФЗ (при наличии нескольких видов субъектов ЭПР требования указываются в отношении каждого вида субъектов ЭПР),</w:t>
      </w:r>
    </w:p>
    <w:p w:rsidR="00822611" w:rsidRPr="00940674" w:rsidRDefault="006C7121" w:rsidP="000B5A8B">
      <w:pPr>
        <w:pStyle w:val="ae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40674">
        <w:rPr>
          <w:rFonts w:ascii="Times New Roman" w:hAnsi="Times New Roman"/>
          <w:i/>
          <w:color w:val="0070C0"/>
          <w:sz w:val="28"/>
          <w:szCs w:val="28"/>
        </w:rPr>
        <w:t>порядок направления и рассмотрения заявок претендентов и прилагаемых документов</w:t>
      </w:r>
      <w:r w:rsidR="00822611" w:rsidRPr="00940674">
        <w:rPr>
          <w:rFonts w:ascii="Times New Roman" w:hAnsi="Times New Roman"/>
          <w:i/>
          <w:color w:val="0070C0"/>
          <w:sz w:val="28"/>
          <w:szCs w:val="28"/>
        </w:rPr>
        <w:t>, подтверждающих соответствие претендента требованиям к субъектам ЭПР, а также</w:t>
      </w:r>
      <w:r w:rsidR="00822611" w:rsidRPr="00940674">
        <w:rPr>
          <w:color w:val="0070C0"/>
        </w:rPr>
        <w:t xml:space="preserve"> </w:t>
      </w:r>
      <w:r w:rsidR="00822611" w:rsidRPr="00940674">
        <w:rPr>
          <w:rFonts w:ascii="Times New Roman" w:hAnsi="Times New Roman"/>
          <w:i/>
          <w:color w:val="0070C0"/>
          <w:sz w:val="28"/>
          <w:szCs w:val="28"/>
        </w:rPr>
        <w:t>перечень организаций и органов, рассматривающих заявки претендентов и прилагаемые документы</w:t>
      </w:r>
      <w:r w:rsidR="00A2270B" w:rsidRPr="00940674">
        <w:rPr>
          <w:rFonts w:ascii="Times New Roman" w:hAnsi="Times New Roman"/>
          <w:i/>
          <w:color w:val="0070C0"/>
          <w:sz w:val="28"/>
          <w:szCs w:val="28"/>
        </w:rPr>
        <w:t xml:space="preserve"> (например, Банк России совместно с Федеральной службой по финансовому мониторингу)</w:t>
      </w:r>
      <w:r w:rsidR="00FE11F3">
        <w:rPr>
          <w:rFonts w:ascii="Times New Roman" w:hAnsi="Times New Roman"/>
          <w:i/>
          <w:color w:val="0070C0"/>
          <w:sz w:val="28"/>
          <w:szCs w:val="28"/>
        </w:rPr>
        <w:t>.</w:t>
      </w:r>
    </w:p>
    <w:p w:rsidR="00810B9A" w:rsidRPr="000A6779" w:rsidRDefault="00810B9A" w:rsidP="00A2270B">
      <w:pPr>
        <w:pStyle w:val="ConsPlusTitle"/>
        <w:spacing w:before="480" w:after="240" w:line="36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D79">
        <w:rPr>
          <w:rFonts w:ascii="Times New Roman" w:hAnsi="Times New Roman" w:cs="Times New Roman"/>
          <w:color w:val="000000"/>
          <w:sz w:val="28"/>
          <w:szCs w:val="28"/>
        </w:rPr>
        <w:t>Глава 10</w:t>
      </w:r>
      <w:r w:rsidRPr="00794D79">
        <w:rPr>
          <w:rFonts w:ascii="Times New Roman" w:hAnsi="Times New Roman" w:cs="Times New Roman"/>
          <w:color w:val="000000" w:themeColor="text1"/>
          <w:sz w:val="28"/>
          <w:szCs w:val="28"/>
        </w:rPr>
        <w:t>. Основания</w:t>
      </w:r>
      <w:r w:rsidR="00C5537B" w:rsidRPr="00794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4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приостановления и </w:t>
      </w:r>
      <w:r w:rsidRPr="00794D79">
        <w:rPr>
          <w:rFonts w:ascii="Times New Roman" w:hAnsi="Times New Roman" w:cs="Times New Roman"/>
          <w:sz w:val="28"/>
          <w:szCs w:val="28"/>
        </w:rPr>
        <w:t>прекращения</w:t>
      </w:r>
      <w:r w:rsidRPr="000A6779">
        <w:rPr>
          <w:rFonts w:ascii="Times New Roman" w:hAnsi="Times New Roman" w:cs="Times New Roman"/>
          <w:sz w:val="28"/>
          <w:szCs w:val="28"/>
        </w:rPr>
        <w:t xml:space="preserve"> </w:t>
      </w: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>статуса субъекта экспериментального правового режима, сроки приостановления статуса субъекта экспериментального правового режима</w:t>
      </w:r>
    </w:p>
    <w:p w:rsidR="00CA33F9" w:rsidRDefault="00596538" w:rsidP="00D00CD2">
      <w:pPr>
        <w:pStyle w:val="ConsPlusNormal"/>
        <w:spacing w:line="276" w:lineRule="auto"/>
        <w:ind w:firstLine="709"/>
        <w:contextualSpacing/>
        <w:jc w:val="both"/>
        <w:rPr>
          <w:i/>
          <w:color w:val="0070C0"/>
          <w:sz w:val="28"/>
          <w:szCs w:val="28"/>
        </w:rPr>
      </w:pPr>
      <w:r w:rsidRPr="00940674">
        <w:rPr>
          <w:i/>
          <w:color w:val="0070C0"/>
          <w:sz w:val="28"/>
          <w:szCs w:val="28"/>
        </w:rPr>
        <w:t>Указываются основания для приостановления и прекращения статуса субъекта ЭПР с учетом положений статьи 12 Федерального закона № 258-ФЗ и положений Указания Банка России № 5679-У</w:t>
      </w:r>
      <w:r w:rsidRPr="00940674">
        <w:rPr>
          <w:rStyle w:val="af1"/>
          <w:i/>
          <w:color w:val="0070C0"/>
          <w:sz w:val="28"/>
          <w:szCs w:val="28"/>
        </w:rPr>
        <w:footnoteReference w:id="3"/>
      </w:r>
      <w:r w:rsidR="00CA33F9">
        <w:rPr>
          <w:i/>
          <w:color w:val="0070C0"/>
          <w:sz w:val="28"/>
          <w:szCs w:val="28"/>
        </w:rPr>
        <w:t>.</w:t>
      </w:r>
    </w:p>
    <w:p w:rsidR="00E42903" w:rsidRPr="00940674" w:rsidRDefault="00CA33F9" w:rsidP="00D00CD2">
      <w:pPr>
        <w:pStyle w:val="ConsPlusNormal"/>
        <w:spacing w:line="276" w:lineRule="auto"/>
        <w:ind w:firstLine="709"/>
        <w:contextualSpacing/>
        <w:jc w:val="both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В данной главе также закрепляются последствия </w:t>
      </w:r>
      <w:r w:rsidR="00B31492">
        <w:rPr>
          <w:i/>
          <w:color w:val="0070C0"/>
          <w:sz w:val="28"/>
          <w:szCs w:val="28"/>
        </w:rPr>
        <w:t>нарушени</w:t>
      </w:r>
      <w:r w:rsidR="00AF1B71">
        <w:rPr>
          <w:i/>
          <w:color w:val="0070C0"/>
          <w:sz w:val="28"/>
          <w:szCs w:val="28"/>
        </w:rPr>
        <w:t>я</w:t>
      </w:r>
      <w:r>
        <w:rPr>
          <w:i/>
          <w:color w:val="0070C0"/>
          <w:sz w:val="28"/>
          <w:szCs w:val="28"/>
        </w:rPr>
        <w:t xml:space="preserve"> </w:t>
      </w:r>
      <w:r w:rsidR="00D00CD2" w:rsidRPr="00D00CD2">
        <w:rPr>
          <w:i/>
          <w:color w:val="0070C0"/>
          <w:sz w:val="28"/>
          <w:szCs w:val="28"/>
        </w:rPr>
        <w:t xml:space="preserve">положений программы </w:t>
      </w:r>
      <w:r>
        <w:rPr>
          <w:i/>
          <w:color w:val="0070C0"/>
          <w:sz w:val="28"/>
          <w:szCs w:val="28"/>
        </w:rPr>
        <w:t>ЭПР</w:t>
      </w:r>
      <w:r w:rsidR="00D00CD2" w:rsidRPr="00D00CD2">
        <w:rPr>
          <w:i/>
          <w:color w:val="0070C0"/>
          <w:sz w:val="28"/>
          <w:szCs w:val="28"/>
        </w:rPr>
        <w:t>, в том числе грубого их нарушения</w:t>
      </w:r>
      <w:r w:rsidR="00B31492">
        <w:rPr>
          <w:i/>
          <w:color w:val="0070C0"/>
          <w:sz w:val="28"/>
          <w:szCs w:val="28"/>
        </w:rPr>
        <w:t>,</w:t>
      </w:r>
      <w:r w:rsidR="00B31492" w:rsidRPr="00B31492">
        <w:rPr>
          <w:i/>
          <w:color w:val="0070C0"/>
          <w:sz w:val="28"/>
          <w:szCs w:val="28"/>
        </w:rPr>
        <w:t xml:space="preserve"> </w:t>
      </w:r>
      <w:r w:rsidR="00B31492" w:rsidRPr="00FE11F3">
        <w:rPr>
          <w:i/>
          <w:color w:val="0070C0"/>
          <w:sz w:val="28"/>
          <w:szCs w:val="28"/>
        </w:rPr>
        <w:t>случаи, при которых статус субъекта не прекращается (например, внесен</w:t>
      </w:r>
      <w:r w:rsidR="00B31492">
        <w:rPr>
          <w:i/>
          <w:color w:val="0070C0"/>
          <w:sz w:val="28"/>
          <w:szCs w:val="28"/>
        </w:rPr>
        <w:t xml:space="preserve">ие изменений в </w:t>
      </w:r>
      <w:r w:rsidR="00A67B89">
        <w:rPr>
          <w:i/>
          <w:color w:val="0070C0"/>
          <w:sz w:val="28"/>
          <w:szCs w:val="28"/>
        </w:rPr>
        <w:t>п</w:t>
      </w:r>
      <w:r w:rsidR="00B31492">
        <w:rPr>
          <w:i/>
          <w:color w:val="0070C0"/>
          <w:sz w:val="28"/>
          <w:szCs w:val="28"/>
        </w:rPr>
        <w:t>рограмму ЭПР)</w:t>
      </w:r>
      <w:r w:rsidR="00AF1B71">
        <w:rPr>
          <w:i/>
          <w:color w:val="0070C0"/>
          <w:sz w:val="28"/>
          <w:szCs w:val="28"/>
        </w:rPr>
        <w:t>,</w:t>
      </w:r>
      <w:r w:rsidR="00B31492">
        <w:rPr>
          <w:i/>
          <w:color w:val="0070C0"/>
          <w:sz w:val="28"/>
          <w:szCs w:val="28"/>
        </w:rPr>
        <w:t xml:space="preserve"> и </w:t>
      </w:r>
      <w:r w:rsidR="00B31492" w:rsidRPr="00FE11F3">
        <w:rPr>
          <w:i/>
          <w:color w:val="0070C0"/>
          <w:sz w:val="28"/>
          <w:szCs w:val="28"/>
        </w:rPr>
        <w:t>порядок отказа субъекта ЭПР от дальнейшего участия в ЭПР.</w:t>
      </w:r>
    </w:p>
    <w:p w:rsidR="00596538" w:rsidRPr="00940674" w:rsidRDefault="00596538" w:rsidP="00FE11F3">
      <w:pPr>
        <w:pStyle w:val="ConsPlusNormal"/>
        <w:spacing w:line="276" w:lineRule="auto"/>
        <w:ind w:firstLine="709"/>
        <w:contextualSpacing/>
        <w:jc w:val="both"/>
        <w:rPr>
          <w:i/>
          <w:color w:val="0070C0"/>
          <w:sz w:val="28"/>
          <w:szCs w:val="28"/>
        </w:rPr>
      </w:pPr>
      <w:r w:rsidRPr="00940674">
        <w:rPr>
          <w:i/>
          <w:color w:val="0070C0"/>
          <w:sz w:val="28"/>
          <w:szCs w:val="28"/>
        </w:rPr>
        <w:t xml:space="preserve">В отношении приостановления также </w:t>
      </w:r>
      <w:r w:rsidR="00CD4F05" w:rsidRPr="00940674">
        <w:rPr>
          <w:i/>
          <w:color w:val="0070C0"/>
          <w:sz w:val="28"/>
          <w:szCs w:val="28"/>
        </w:rPr>
        <w:t>могут указыва</w:t>
      </w:r>
      <w:r w:rsidRPr="00940674">
        <w:rPr>
          <w:i/>
          <w:color w:val="0070C0"/>
          <w:sz w:val="28"/>
          <w:szCs w:val="28"/>
        </w:rPr>
        <w:t>т</w:t>
      </w:r>
      <w:r w:rsidR="00CD4F05" w:rsidRPr="00940674">
        <w:rPr>
          <w:i/>
          <w:color w:val="0070C0"/>
          <w:sz w:val="28"/>
          <w:szCs w:val="28"/>
        </w:rPr>
        <w:t>ь</w:t>
      </w:r>
      <w:r w:rsidRPr="00940674">
        <w:rPr>
          <w:i/>
          <w:color w:val="0070C0"/>
          <w:sz w:val="28"/>
          <w:szCs w:val="28"/>
        </w:rPr>
        <w:t xml:space="preserve">ся </w:t>
      </w:r>
      <w:r w:rsidR="00CD4F05" w:rsidRPr="00940674">
        <w:rPr>
          <w:i/>
          <w:color w:val="0070C0"/>
          <w:sz w:val="28"/>
          <w:szCs w:val="28"/>
        </w:rPr>
        <w:t xml:space="preserve">дополнительные положения, не противоречащие Федеральному закону № 258-ФЗ и Указанию Банка России № 5679-У, например, в отношении </w:t>
      </w:r>
      <w:r w:rsidR="00523B16">
        <w:rPr>
          <w:i/>
          <w:color w:val="0070C0"/>
          <w:sz w:val="28"/>
          <w:szCs w:val="28"/>
        </w:rPr>
        <w:t xml:space="preserve">случаев и </w:t>
      </w:r>
      <w:r w:rsidR="00CD4F05" w:rsidRPr="00940674">
        <w:rPr>
          <w:i/>
          <w:color w:val="0070C0"/>
          <w:sz w:val="28"/>
          <w:szCs w:val="28"/>
        </w:rPr>
        <w:t>сроков приостановления и порядка</w:t>
      </w:r>
      <w:r w:rsidRPr="00940674">
        <w:rPr>
          <w:i/>
          <w:color w:val="0070C0"/>
          <w:sz w:val="28"/>
          <w:szCs w:val="28"/>
        </w:rPr>
        <w:t xml:space="preserve"> возобновления статуса субъекта ЭПР</w:t>
      </w:r>
      <w:r w:rsidR="00FE11F3">
        <w:rPr>
          <w:i/>
          <w:color w:val="0070C0"/>
          <w:sz w:val="28"/>
          <w:szCs w:val="28"/>
        </w:rPr>
        <w:t xml:space="preserve">, </w:t>
      </w:r>
    </w:p>
    <w:p w:rsidR="00810B9A" w:rsidRPr="000A6779" w:rsidRDefault="00810B9A" w:rsidP="00A2270B">
      <w:pPr>
        <w:pStyle w:val="ConsPlusTitle"/>
        <w:spacing w:before="480" w:after="240" w:line="36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A6779">
        <w:rPr>
          <w:rFonts w:ascii="Times New Roman" w:hAnsi="Times New Roman" w:cs="Times New Roman"/>
          <w:color w:val="000000"/>
          <w:sz w:val="28"/>
          <w:szCs w:val="28"/>
        </w:rPr>
        <w:t>Глава 11. Основания приостановления и прекращения экспериментального правового режима, сроки приостановления экспериментального правового режима</w:t>
      </w:r>
    </w:p>
    <w:p w:rsidR="00810B9A" w:rsidRPr="00940674" w:rsidRDefault="00596538" w:rsidP="000B5A8B">
      <w:pPr>
        <w:pStyle w:val="ConsPlusNormal"/>
        <w:spacing w:line="276" w:lineRule="auto"/>
        <w:ind w:firstLine="709"/>
        <w:contextualSpacing/>
        <w:jc w:val="both"/>
        <w:rPr>
          <w:color w:val="0070C0"/>
          <w:sz w:val="28"/>
          <w:szCs w:val="28"/>
        </w:rPr>
      </w:pPr>
      <w:r w:rsidRPr="00940674">
        <w:rPr>
          <w:i/>
          <w:color w:val="0070C0"/>
          <w:sz w:val="28"/>
          <w:szCs w:val="28"/>
        </w:rPr>
        <w:t xml:space="preserve">Указываются основания для приостановления и прекращения ЭПР, в том числе досрочного, с учетом положений статей 16 и 17 Федерального закона № 258-ФЗ и </w:t>
      </w:r>
      <w:r w:rsidRPr="00940674">
        <w:rPr>
          <w:i/>
          <w:color w:val="0070C0"/>
          <w:sz w:val="28"/>
          <w:szCs w:val="28"/>
        </w:rPr>
        <w:lastRenderedPageBreak/>
        <w:t>положений Указания Банка России № 5677-У</w:t>
      </w:r>
      <w:r w:rsidRPr="00940674">
        <w:rPr>
          <w:rStyle w:val="af1"/>
          <w:i/>
          <w:color w:val="0070C0"/>
          <w:sz w:val="28"/>
          <w:szCs w:val="28"/>
        </w:rPr>
        <w:footnoteReference w:id="4"/>
      </w:r>
      <w:r w:rsidRPr="00940674">
        <w:rPr>
          <w:i/>
          <w:color w:val="0070C0"/>
          <w:sz w:val="28"/>
          <w:szCs w:val="28"/>
        </w:rPr>
        <w:t xml:space="preserve">. В отношении приостановления также </w:t>
      </w:r>
      <w:r w:rsidR="00CD4F05" w:rsidRPr="00940674">
        <w:rPr>
          <w:i/>
          <w:color w:val="0070C0"/>
          <w:sz w:val="28"/>
          <w:szCs w:val="28"/>
        </w:rPr>
        <w:t>могут указываться дополнительные положения, не противоречащие Федеральному закону № 258-ФЗ и Указанию Банка России № 5677-У, например, в отношении</w:t>
      </w:r>
      <w:r w:rsidR="00523B16">
        <w:rPr>
          <w:i/>
          <w:color w:val="0070C0"/>
          <w:sz w:val="28"/>
          <w:szCs w:val="28"/>
        </w:rPr>
        <w:t xml:space="preserve"> случаев и</w:t>
      </w:r>
      <w:r w:rsidR="00CD4F05" w:rsidRPr="00940674">
        <w:rPr>
          <w:i/>
          <w:color w:val="0070C0"/>
          <w:sz w:val="28"/>
          <w:szCs w:val="28"/>
        </w:rPr>
        <w:t xml:space="preserve"> сроков приостановления и порядка возобновления действия ЭПР</w:t>
      </w:r>
      <w:r w:rsidRPr="00940674">
        <w:rPr>
          <w:i/>
          <w:color w:val="0070C0"/>
          <w:sz w:val="28"/>
          <w:szCs w:val="28"/>
        </w:rPr>
        <w:t>.</w:t>
      </w:r>
    </w:p>
    <w:p w:rsidR="00810B9A" w:rsidRPr="000A6779" w:rsidRDefault="00810B9A" w:rsidP="00A2270B">
      <w:pPr>
        <w:pStyle w:val="ConsPlusTitle"/>
        <w:spacing w:before="480" w:after="240" w:line="36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779">
        <w:rPr>
          <w:rFonts w:ascii="Times New Roman" w:hAnsi="Times New Roman" w:cs="Times New Roman"/>
          <w:color w:val="000000"/>
          <w:sz w:val="28"/>
          <w:szCs w:val="28"/>
        </w:rPr>
        <w:t>Глава 12</w:t>
      </w: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7D0A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критериев нарушения положений программы экспериментального право</w:t>
      </w: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>вого режима, в том числе грубого их нарушения, и влияние такого нарушения на реализацию экспериментального правового режима</w:t>
      </w:r>
    </w:p>
    <w:p w:rsidR="00810B9A" w:rsidRPr="00940674" w:rsidRDefault="00090941" w:rsidP="000B5A8B">
      <w:pPr>
        <w:pStyle w:val="ConsPlusNormal"/>
        <w:spacing w:line="276" w:lineRule="auto"/>
        <w:ind w:firstLine="709"/>
        <w:contextualSpacing/>
        <w:jc w:val="both"/>
        <w:rPr>
          <w:i/>
          <w:color w:val="0070C0"/>
          <w:sz w:val="28"/>
          <w:szCs w:val="28"/>
        </w:rPr>
      </w:pPr>
      <w:r w:rsidRPr="00940674">
        <w:rPr>
          <w:i/>
          <w:color w:val="0070C0"/>
          <w:sz w:val="28"/>
          <w:szCs w:val="28"/>
        </w:rPr>
        <w:t xml:space="preserve">Указываются </w:t>
      </w:r>
      <w:r w:rsidR="00596538" w:rsidRPr="00940674">
        <w:rPr>
          <w:i/>
          <w:color w:val="0070C0"/>
          <w:sz w:val="28"/>
          <w:szCs w:val="28"/>
        </w:rPr>
        <w:t>критерии нарушения</w:t>
      </w:r>
      <w:r w:rsidR="00523B16">
        <w:rPr>
          <w:i/>
          <w:color w:val="0070C0"/>
          <w:sz w:val="28"/>
          <w:szCs w:val="28"/>
        </w:rPr>
        <w:t>, в том числе</w:t>
      </w:r>
      <w:r w:rsidR="00596538" w:rsidRPr="00940674">
        <w:rPr>
          <w:i/>
          <w:color w:val="0070C0"/>
          <w:sz w:val="28"/>
          <w:szCs w:val="28"/>
        </w:rPr>
        <w:t xml:space="preserve"> грубого нарушения.</w:t>
      </w:r>
    </w:p>
    <w:p w:rsidR="00810B9A" w:rsidRPr="000A6779" w:rsidRDefault="00810B9A" w:rsidP="00A2270B">
      <w:pPr>
        <w:pStyle w:val="ConsPlusTitle"/>
        <w:spacing w:before="480" w:after="240" w:line="36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779">
        <w:rPr>
          <w:rFonts w:ascii="Times New Roman" w:hAnsi="Times New Roman" w:cs="Times New Roman"/>
          <w:color w:val="000000"/>
          <w:sz w:val="28"/>
          <w:szCs w:val="28"/>
        </w:rPr>
        <w:t>Глава 13</w:t>
      </w: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F7D0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</w:t>
      </w:r>
      <w:r w:rsidR="00523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контрольных (надзорных)</w:t>
      </w:r>
      <w:r w:rsidRPr="00DF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органах, осуществляющих </w:t>
      </w:r>
      <w:r w:rsidR="00523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</w:t>
      </w:r>
      <w:r w:rsidRPr="00DF7D0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(надзор)</w:t>
      </w:r>
      <w:r w:rsidR="00523B16">
        <w:rPr>
          <w:rFonts w:ascii="Times New Roman" w:hAnsi="Times New Roman" w:cs="Times New Roman"/>
          <w:color w:val="000000" w:themeColor="text1"/>
          <w:sz w:val="28"/>
          <w:szCs w:val="28"/>
        </w:rPr>
        <w:t>, муниципальный контроль, и иных органов, осуществляющих контроль (надзор)</w:t>
      </w:r>
      <w:r w:rsidRPr="00DF7D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экспериментального правового режима, порядок осуществления </w:t>
      </w:r>
      <w:r w:rsidR="00523B16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контроля (надзора), муниципального контроля и (или) иного контроля (надзора), в том числе порядок проведения соответствующих контрольных (надзорных) мероприятий на предмет соблюдения положений программы экспериментального правового режима</w:t>
      </w:r>
    </w:p>
    <w:p w:rsidR="00810B9A" w:rsidRPr="00940674" w:rsidRDefault="00090941" w:rsidP="000B5A8B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i/>
          <w:color w:val="0070C0"/>
          <w:sz w:val="28"/>
          <w:szCs w:val="28"/>
        </w:rPr>
      </w:pPr>
      <w:r w:rsidRPr="00940674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 xml:space="preserve">Указывается перечень </w:t>
      </w:r>
      <w:r w:rsidR="00523B16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 xml:space="preserve">контрольных (надзорных) </w:t>
      </w:r>
      <w:r w:rsidR="00CD4F05" w:rsidRPr="00940674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>органов</w:t>
      </w:r>
      <w:r w:rsidRPr="00940674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 xml:space="preserve">, осуществляющих </w:t>
      </w:r>
      <w:r w:rsidR="00523B16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 xml:space="preserve">государственный </w:t>
      </w:r>
      <w:r w:rsidRPr="00940674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>контроль (надзор) (например, Банк России, Федеральная служба по финансовому мониторингу).</w:t>
      </w:r>
      <w:r w:rsidR="00523B16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 xml:space="preserve"> Указывается круг субъектов ЭПР, на которых распространяется соответствующий </w:t>
      </w:r>
      <w:r w:rsidR="00523B16" w:rsidRPr="00940674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>контроль (надзор)</w:t>
      </w:r>
      <w:r w:rsidR="00523B16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 xml:space="preserve">, </w:t>
      </w:r>
      <w:r w:rsidR="00523B16" w:rsidRPr="00523B16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 xml:space="preserve">порядок проведения соответствующих контрольных (надзорных) мероприятий на предмет соблюдения положений программы </w:t>
      </w:r>
      <w:r w:rsidR="00244217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>ЭПР</w:t>
      </w:r>
      <w:r w:rsidR="00523B16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>.</w:t>
      </w:r>
    </w:p>
    <w:p w:rsidR="00090941" w:rsidRPr="00940674" w:rsidRDefault="00090941" w:rsidP="000B5A8B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i/>
          <w:color w:val="0070C0"/>
          <w:sz w:val="28"/>
          <w:szCs w:val="28"/>
        </w:rPr>
      </w:pPr>
      <w:r w:rsidRPr="00940674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 xml:space="preserve">Также могут указываться меры реагирования на </w:t>
      </w:r>
      <w:r w:rsidR="00244217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>нарушения положений требований п</w:t>
      </w:r>
      <w:r w:rsidRPr="00940674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>рограммы ЭПР (например, направление предписаний)</w:t>
      </w:r>
      <w:r w:rsidR="00CD4F05" w:rsidRPr="00940674">
        <w:rPr>
          <w:rFonts w:ascii="Times New Roman" w:hAnsi="Times New Roman" w:cs="Times New Roman"/>
          <w:b w:val="0"/>
          <w:i/>
          <w:color w:val="0070C0"/>
          <w:sz w:val="28"/>
          <w:szCs w:val="28"/>
        </w:rPr>
        <w:t>.</w:t>
      </w:r>
    </w:p>
    <w:p w:rsidR="00810B9A" w:rsidRPr="000A6779" w:rsidRDefault="00810B9A" w:rsidP="00A2270B">
      <w:pPr>
        <w:pStyle w:val="ConsPlusTitle"/>
        <w:spacing w:before="480" w:after="240" w:line="36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7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Глава 14</w:t>
      </w: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Требования </w:t>
      </w:r>
      <w:r w:rsidRPr="00DF7D0A">
        <w:rPr>
          <w:rFonts w:ascii="Times New Roman" w:hAnsi="Times New Roman" w:cs="Times New Roman"/>
          <w:color w:val="000000" w:themeColor="text1"/>
          <w:sz w:val="28"/>
          <w:szCs w:val="28"/>
        </w:rPr>
        <w:t>к оценке эффективности и результативности экспериментального правового режима, в том числе показатели, в соответствии с которыми</w:t>
      </w: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данная оценка</w:t>
      </w:r>
      <w:r w:rsidR="00100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порядок </w:t>
      </w:r>
      <w:r w:rsidR="004F0A2C">
        <w:rPr>
          <w:rFonts w:ascii="Times New Roman" w:hAnsi="Times New Roman" w:cs="Times New Roman"/>
          <w:color w:val="000000" w:themeColor="text1"/>
          <w:sz w:val="28"/>
          <w:szCs w:val="28"/>
        </w:rPr>
        <w:t>ее проведения</w:t>
      </w:r>
    </w:p>
    <w:p w:rsidR="00035A6F" w:rsidRPr="00940674" w:rsidRDefault="00E15ED7" w:rsidP="00035A6F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40674">
        <w:rPr>
          <w:rFonts w:ascii="Times New Roman" w:hAnsi="Times New Roman"/>
          <w:i/>
          <w:color w:val="0070C0"/>
          <w:sz w:val="28"/>
          <w:szCs w:val="28"/>
        </w:rPr>
        <w:t xml:space="preserve">Указывается порядок проведения оценки эффективности и результативности </w:t>
      </w:r>
      <w:r w:rsidR="00523B16">
        <w:rPr>
          <w:rFonts w:ascii="Times New Roman" w:hAnsi="Times New Roman"/>
          <w:i/>
          <w:color w:val="0070C0"/>
          <w:sz w:val="28"/>
          <w:szCs w:val="28"/>
        </w:rPr>
        <w:t xml:space="preserve">ЭПР </w:t>
      </w:r>
      <w:r w:rsidRPr="00940674">
        <w:rPr>
          <w:rFonts w:ascii="Times New Roman" w:hAnsi="Times New Roman"/>
          <w:i/>
          <w:color w:val="0070C0"/>
          <w:sz w:val="28"/>
          <w:szCs w:val="28"/>
        </w:rPr>
        <w:t>(</w:t>
      </w:r>
      <w:r w:rsidR="00F63121">
        <w:rPr>
          <w:rFonts w:ascii="Times New Roman" w:hAnsi="Times New Roman"/>
          <w:i/>
          <w:color w:val="0070C0"/>
          <w:sz w:val="28"/>
          <w:szCs w:val="28"/>
        </w:rPr>
        <w:t xml:space="preserve">с учетом положений </w:t>
      </w:r>
      <w:r w:rsidRPr="00940674">
        <w:rPr>
          <w:rFonts w:ascii="Times New Roman" w:hAnsi="Times New Roman"/>
          <w:i/>
          <w:color w:val="0070C0"/>
          <w:sz w:val="28"/>
          <w:szCs w:val="28"/>
        </w:rPr>
        <w:t>Указани</w:t>
      </w:r>
      <w:r w:rsidR="00F63121">
        <w:rPr>
          <w:rFonts w:ascii="Times New Roman" w:hAnsi="Times New Roman"/>
          <w:i/>
          <w:color w:val="0070C0"/>
          <w:sz w:val="28"/>
          <w:szCs w:val="28"/>
        </w:rPr>
        <w:t>я</w:t>
      </w:r>
      <w:r w:rsidRPr="00940674">
        <w:rPr>
          <w:rFonts w:ascii="Times New Roman" w:hAnsi="Times New Roman"/>
          <w:i/>
          <w:color w:val="0070C0"/>
          <w:sz w:val="28"/>
          <w:szCs w:val="28"/>
        </w:rPr>
        <w:t xml:space="preserve"> Банка России № 5680-У</w:t>
      </w:r>
      <w:r w:rsidRPr="00940674">
        <w:rPr>
          <w:rStyle w:val="af1"/>
          <w:rFonts w:ascii="Times New Roman" w:hAnsi="Times New Roman"/>
          <w:i/>
          <w:color w:val="0070C0"/>
          <w:sz w:val="28"/>
          <w:szCs w:val="28"/>
        </w:rPr>
        <w:footnoteReference w:id="5"/>
      </w:r>
      <w:r w:rsidR="00CD4F05" w:rsidRPr="00940674">
        <w:rPr>
          <w:rFonts w:ascii="Times New Roman" w:hAnsi="Times New Roman"/>
          <w:i/>
          <w:color w:val="0070C0"/>
          <w:sz w:val="28"/>
          <w:szCs w:val="28"/>
        </w:rPr>
        <w:t>)</w:t>
      </w:r>
      <w:r w:rsidR="00035A6F">
        <w:rPr>
          <w:rFonts w:ascii="Times New Roman" w:hAnsi="Times New Roman"/>
          <w:i/>
          <w:color w:val="0070C0"/>
          <w:sz w:val="28"/>
          <w:szCs w:val="28"/>
        </w:rPr>
        <w:t xml:space="preserve">, а также </w:t>
      </w:r>
      <w:r w:rsidR="00323822">
        <w:rPr>
          <w:rFonts w:ascii="Times New Roman" w:hAnsi="Times New Roman"/>
          <w:i/>
          <w:color w:val="0070C0"/>
          <w:sz w:val="28"/>
          <w:szCs w:val="28"/>
        </w:rPr>
        <w:t xml:space="preserve">закрепляется </w:t>
      </w:r>
      <w:r w:rsidR="00035A6F" w:rsidRPr="00940674">
        <w:rPr>
          <w:rFonts w:ascii="Times New Roman" w:hAnsi="Times New Roman"/>
          <w:i/>
          <w:color w:val="0070C0"/>
          <w:sz w:val="28"/>
          <w:szCs w:val="28"/>
        </w:rPr>
        <w:t>или оформляется приложением к программе</w:t>
      </w:r>
      <w:r w:rsidR="00244217">
        <w:rPr>
          <w:rFonts w:ascii="Times New Roman" w:hAnsi="Times New Roman"/>
          <w:i/>
          <w:color w:val="0070C0"/>
          <w:sz w:val="28"/>
          <w:szCs w:val="28"/>
        </w:rPr>
        <w:t xml:space="preserve"> ЭПР</w:t>
      </w:r>
      <w:r w:rsidR="00035A6F" w:rsidRPr="00940674">
        <w:rPr>
          <w:rFonts w:ascii="Times New Roman" w:hAnsi="Times New Roman"/>
          <w:i/>
          <w:color w:val="0070C0"/>
          <w:sz w:val="28"/>
          <w:szCs w:val="28"/>
        </w:rPr>
        <w:t xml:space="preserve"> методика анализа отчета субъекта ЭПР об итогах деятельности в рамках реализации такого ЭПР.</w:t>
      </w:r>
    </w:p>
    <w:p w:rsidR="00810B9A" w:rsidRDefault="002C16D7" w:rsidP="000B5A8B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40674">
        <w:rPr>
          <w:rFonts w:ascii="Times New Roman" w:hAnsi="Times New Roman"/>
          <w:i/>
          <w:color w:val="0070C0"/>
          <w:sz w:val="28"/>
          <w:szCs w:val="28"/>
        </w:rPr>
        <w:t>Указываются показатели эффективности и результативности</w:t>
      </w:r>
      <w:r w:rsidR="00523B16">
        <w:rPr>
          <w:rFonts w:ascii="Times New Roman" w:hAnsi="Times New Roman"/>
          <w:i/>
          <w:color w:val="0070C0"/>
          <w:sz w:val="28"/>
          <w:szCs w:val="28"/>
        </w:rPr>
        <w:t xml:space="preserve"> деятельности</w:t>
      </w:r>
      <w:r w:rsidRPr="00940674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090941" w:rsidRPr="00940674">
        <w:rPr>
          <w:rFonts w:ascii="Times New Roman" w:hAnsi="Times New Roman"/>
          <w:i/>
          <w:color w:val="0070C0"/>
          <w:sz w:val="28"/>
          <w:szCs w:val="28"/>
        </w:rPr>
        <w:t>субъектов ЭПР</w:t>
      </w:r>
      <w:r w:rsidR="00523B16" w:rsidRPr="00523B1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523B16" w:rsidRPr="00940674">
        <w:rPr>
          <w:rFonts w:ascii="Times New Roman" w:hAnsi="Times New Roman"/>
          <w:i/>
          <w:color w:val="0070C0"/>
          <w:sz w:val="28"/>
          <w:szCs w:val="28"/>
        </w:rPr>
        <w:t>(могут оформляться приложением)</w:t>
      </w:r>
      <w:r w:rsidR="00E15ED7" w:rsidRPr="00940674">
        <w:rPr>
          <w:rFonts w:ascii="Times New Roman" w:hAnsi="Times New Roman"/>
          <w:i/>
          <w:color w:val="0070C0"/>
          <w:sz w:val="28"/>
          <w:szCs w:val="28"/>
        </w:rPr>
        <w:t>.</w:t>
      </w:r>
    </w:p>
    <w:p w:rsidR="00810B9A" w:rsidRPr="000A6779" w:rsidRDefault="00810B9A" w:rsidP="00A2270B">
      <w:pPr>
        <w:pStyle w:val="ConsPlusTitle"/>
        <w:spacing w:before="480" w:after="240" w:line="36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779">
        <w:rPr>
          <w:rFonts w:ascii="Times New Roman" w:hAnsi="Times New Roman" w:cs="Times New Roman"/>
          <w:color w:val="000000"/>
          <w:sz w:val="28"/>
          <w:szCs w:val="28"/>
        </w:rPr>
        <w:t>Глава 15</w:t>
      </w: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Способы </w:t>
      </w:r>
      <w:r w:rsidRPr="00EC1E26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информирования субъектом экспериментального правового режима лиц, выражающих намерение вступить</w:t>
      </w: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ним в правоотношения в рамках экспериментального правового режима, о наличии и содержании экспериментального правового режима, в том числе об отличиях специального регулирован</w:t>
      </w:r>
      <w:r w:rsidR="00244217">
        <w:rPr>
          <w:rFonts w:ascii="Times New Roman" w:hAnsi="Times New Roman" w:cs="Times New Roman"/>
          <w:color w:val="000000" w:themeColor="text1"/>
          <w:sz w:val="28"/>
          <w:szCs w:val="28"/>
        </w:rPr>
        <w:t>ия, предусмотренного настоящей п</w:t>
      </w: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>рограммой и подлежащего применению к указанным правоотношениям, от общего регулирования</w:t>
      </w:r>
    </w:p>
    <w:p w:rsidR="002C16D7" w:rsidRPr="00940674" w:rsidRDefault="00417BE6" w:rsidP="000B5A8B">
      <w:pPr>
        <w:spacing w:line="276" w:lineRule="auto"/>
        <w:ind w:firstLine="709"/>
        <w:contextualSpacing/>
        <w:jc w:val="both"/>
        <w:rPr>
          <w:rFonts w:ascii="Times New Roman" w:hAnsi="Times New Roman"/>
          <w:bCs/>
          <w:i/>
          <w:color w:val="0070C0"/>
          <w:sz w:val="28"/>
          <w:szCs w:val="28"/>
        </w:rPr>
      </w:pPr>
      <w:r w:rsidRPr="00940674">
        <w:rPr>
          <w:rFonts w:ascii="Times New Roman" w:hAnsi="Times New Roman"/>
          <w:i/>
          <w:color w:val="0070C0"/>
          <w:sz w:val="28"/>
          <w:szCs w:val="28"/>
        </w:rPr>
        <w:t>Указыва</w:t>
      </w:r>
      <w:r w:rsidR="002C16D7" w:rsidRPr="00940674">
        <w:rPr>
          <w:rFonts w:ascii="Times New Roman" w:hAnsi="Times New Roman"/>
          <w:i/>
          <w:color w:val="0070C0"/>
          <w:sz w:val="28"/>
          <w:szCs w:val="28"/>
        </w:rPr>
        <w:t>е</w:t>
      </w:r>
      <w:r w:rsidRPr="00940674">
        <w:rPr>
          <w:rFonts w:ascii="Times New Roman" w:hAnsi="Times New Roman"/>
          <w:i/>
          <w:color w:val="0070C0"/>
          <w:sz w:val="28"/>
          <w:szCs w:val="28"/>
        </w:rPr>
        <w:t>тся</w:t>
      </w:r>
      <w:r w:rsidR="00090941" w:rsidRPr="00940674">
        <w:rPr>
          <w:rFonts w:ascii="Times New Roman" w:hAnsi="Times New Roman"/>
          <w:i/>
          <w:color w:val="0070C0"/>
          <w:sz w:val="28"/>
          <w:szCs w:val="28"/>
        </w:rPr>
        <w:t xml:space="preserve"> порядок информирования лиц, выражающих намерение вступить с субъектом ЭПР в правоотношения в рамках ЭПР (например,</w:t>
      </w:r>
      <w:r w:rsidR="002C16D7" w:rsidRPr="00940674">
        <w:rPr>
          <w:rFonts w:ascii="Times New Roman" w:hAnsi="Times New Roman"/>
          <w:i/>
          <w:color w:val="0070C0"/>
          <w:sz w:val="28"/>
          <w:szCs w:val="28"/>
        </w:rPr>
        <w:t xml:space="preserve"> информирование лиц, выражающих намерение вступить </w:t>
      </w:r>
      <w:r w:rsidR="002C16D7" w:rsidRPr="00940674">
        <w:rPr>
          <w:rFonts w:ascii="Times New Roman" w:hAnsi="Times New Roman"/>
          <w:bCs/>
          <w:i/>
          <w:color w:val="0070C0"/>
          <w:sz w:val="28"/>
          <w:szCs w:val="28"/>
        </w:rPr>
        <w:t xml:space="preserve">с </w:t>
      </w:r>
      <w:r w:rsidR="00323822" w:rsidRPr="00940674">
        <w:rPr>
          <w:rFonts w:ascii="Times New Roman" w:hAnsi="Times New Roman"/>
          <w:i/>
          <w:color w:val="0070C0"/>
          <w:sz w:val="28"/>
          <w:szCs w:val="28"/>
        </w:rPr>
        <w:t xml:space="preserve">субъектом ЭПР </w:t>
      </w:r>
      <w:r w:rsidR="002C16D7" w:rsidRPr="00940674">
        <w:rPr>
          <w:rFonts w:ascii="Times New Roman" w:hAnsi="Times New Roman"/>
          <w:bCs/>
          <w:i/>
          <w:color w:val="0070C0"/>
          <w:sz w:val="28"/>
          <w:szCs w:val="28"/>
        </w:rPr>
        <w:t xml:space="preserve">в правоотношения в рамках </w:t>
      </w:r>
      <w:r w:rsidR="00523B16">
        <w:rPr>
          <w:rFonts w:ascii="Times New Roman" w:hAnsi="Times New Roman"/>
          <w:bCs/>
          <w:i/>
          <w:color w:val="0070C0"/>
          <w:sz w:val="28"/>
          <w:szCs w:val="28"/>
        </w:rPr>
        <w:t>ЭПР</w:t>
      </w:r>
      <w:r w:rsidR="002C16D7" w:rsidRPr="00940674">
        <w:rPr>
          <w:rFonts w:ascii="Times New Roman" w:hAnsi="Times New Roman"/>
          <w:bCs/>
          <w:i/>
          <w:color w:val="0070C0"/>
          <w:sz w:val="28"/>
          <w:szCs w:val="28"/>
        </w:rPr>
        <w:t xml:space="preserve">, о наличии и содержании </w:t>
      </w:r>
      <w:r w:rsidR="00523B16">
        <w:rPr>
          <w:rFonts w:ascii="Times New Roman" w:hAnsi="Times New Roman"/>
          <w:bCs/>
          <w:i/>
          <w:color w:val="0070C0"/>
          <w:sz w:val="28"/>
          <w:szCs w:val="28"/>
        </w:rPr>
        <w:t>ЭПР</w:t>
      </w:r>
      <w:r w:rsidR="002C16D7" w:rsidRPr="00940674">
        <w:rPr>
          <w:rFonts w:ascii="Times New Roman" w:hAnsi="Times New Roman"/>
          <w:bCs/>
          <w:i/>
          <w:color w:val="0070C0"/>
          <w:sz w:val="28"/>
          <w:szCs w:val="28"/>
        </w:rPr>
        <w:t>, в том числе об отличиях специального р</w:t>
      </w:r>
      <w:r w:rsidR="00244217">
        <w:rPr>
          <w:rFonts w:ascii="Times New Roman" w:hAnsi="Times New Roman"/>
          <w:bCs/>
          <w:i/>
          <w:color w:val="0070C0"/>
          <w:sz w:val="28"/>
          <w:szCs w:val="28"/>
        </w:rPr>
        <w:t>егулирования, предусмотренного п</w:t>
      </w:r>
      <w:r w:rsidR="002C16D7" w:rsidRPr="00940674">
        <w:rPr>
          <w:rFonts w:ascii="Times New Roman" w:hAnsi="Times New Roman"/>
          <w:bCs/>
          <w:i/>
          <w:color w:val="0070C0"/>
          <w:sz w:val="28"/>
          <w:szCs w:val="28"/>
        </w:rPr>
        <w:t>рограммой</w:t>
      </w:r>
      <w:r w:rsidR="00DD0AB5">
        <w:rPr>
          <w:rFonts w:ascii="Times New Roman" w:hAnsi="Times New Roman"/>
          <w:bCs/>
          <w:i/>
          <w:color w:val="0070C0"/>
          <w:sz w:val="28"/>
          <w:szCs w:val="28"/>
        </w:rPr>
        <w:t xml:space="preserve"> ЭПР</w:t>
      </w:r>
      <w:r w:rsidR="002C16D7" w:rsidRPr="00940674">
        <w:rPr>
          <w:rFonts w:ascii="Times New Roman" w:hAnsi="Times New Roman"/>
          <w:bCs/>
          <w:i/>
          <w:color w:val="0070C0"/>
          <w:sz w:val="28"/>
          <w:szCs w:val="28"/>
        </w:rPr>
        <w:t xml:space="preserve"> и подлежащего применению к указанным отношениям, от общего регулирования, осуществляется посредством размещения соответствующей информации на официальном сайте </w:t>
      </w:r>
      <w:r w:rsidR="00DD0AB5">
        <w:rPr>
          <w:rFonts w:ascii="Times New Roman" w:hAnsi="Times New Roman"/>
          <w:bCs/>
          <w:i/>
          <w:color w:val="0070C0"/>
          <w:sz w:val="28"/>
          <w:szCs w:val="28"/>
        </w:rPr>
        <w:t xml:space="preserve">субъекта ЭПР </w:t>
      </w:r>
      <w:r w:rsidR="002C16D7" w:rsidRPr="00940674">
        <w:rPr>
          <w:rFonts w:ascii="Times New Roman" w:hAnsi="Times New Roman"/>
          <w:bCs/>
          <w:i/>
          <w:color w:val="0070C0"/>
          <w:sz w:val="28"/>
          <w:szCs w:val="28"/>
        </w:rPr>
        <w:t>в сети "Интернет"</w:t>
      </w:r>
      <w:r w:rsidR="00090941" w:rsidRPr="00940674">
        <w:rPr>
          <w:rFonts w:ascii="Times New Roman" w:hAnsi="Times New Roman"/>
          <w:bCs/>
          <w:i/>
          <w:color w:val="0070C0"/>
          <w:sz w:val="28"/>
          <w:szCs w:val="28"/>
        </w:rPr>
        <w:t>)</w:t>
      </w:r>
      <w:r w:rsidR="002C16D7" w:rsidRPr="00940674">
        <w:rPr>
          <w:rFonts w:ascii="Times New Roman" w:hAnsi="Times New Roman"/>
          <w:bCs/>
          <w:i/>
          <w:color w:val="0070C0"/>
          <w:sz w:val="28"/>
          <w:szCs w:val="28"/>
        </w:rPr>
        <w:t>.</w:t>
      </w:r>
    </w:p>
    <w:p w:rsidR="00810B9A" w:rsidRPr="000A6779" w:rsidRDefault="00810B9A" w:rsidP="00A2270B">
      <w:pPr>
        <w:pStyle w:val="ConsPlusTitle"/>
        <w:spacing w:before="480" w:after="240" w:line="36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A6779">
        <w:rPr>
          <w:rFonts w:ascii="Times New Roman" w:hAnsi="Times New Roman" w:cs="Times New Roman"/>
          <w:color w:val="000000"/>
          <w:sz w:val="28"/>
          <w:szCs w:val="28"/>
        </w:rPr>
        <w:t>Глава 16</w:t>
      </w: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79C0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0A67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79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сроки </w:t>
      </w:r>
      <w:r w:rsidR="009A0D52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дополнительного</w:t>
      </w:r>
      <w:r w:rsidRPr="00F77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опубликования в средствах массовой информации и размещения в сети </w:t>
      </w:r>
      <w:r w:rsidR="00FE2AD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779C0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FE2AD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779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об установлении и о содержании экспериментального</w:t>
      </w: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 режима, </w:t>
      </w: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размещения такой информации перед въездами (проходами) на территорию действия экспериментального правового режима, перед входами в помещения, в которых оказываются услуги в рамках указанного эксп</w:t>
      </w:r>
      <w:r w:rsidR="00C34F96">
        <w:rPr>
          <w:rFonts w:ascii="Times New Roman" w:hAnsi="Times New Roman" w:cs="Times New Roman"/>
          <w:color w:val="000000" w:themeColor="text1"/>
          <w:sz w:val="28"/>
          <w:szCs w:val="28"/>
        </w:rPr>
        <w:t>ериментального правового режима</w:t>
      </w:r>
    </w:p>
    <w:p w:rsidR="00C34F96" w:rsidRPr="00940674" w:rsidRDefault="005735E2" w:rsidP="000B5A8B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40674">
        <w:rPr>
          <w:rFonts w:ascii="Times New Roman" w:hAnsi="Times New Roman"/>
          <w:i/>
          <w:color w:val="0070C0"/>
          <w:sz w:val="28"/>
          <w:szCs w:val="28"/>
        </w:rPr>
        <w:t>При необходимости у</w:t>
      </w:r>
      <w:r w:rsidR="009A0D52" w:rsidRPr="00940674">
        <w:rPr>
          <w:rFonts w:ascii="Times New Roman" w:hAnsi="Times New Roman"/>
          <w:i/>
          <w:color w:val="0070C0"/>
          <w:sz w:val="28"/>
          <w:szCs w:val="28"/>
        </w:rPr>
        <w:t xml:space="preserve">казывается порядок </w:t>
      </w:r>
      <w:r w:rsidRPr="00940674">
        <w:rPr>
          <w:rFonts w:ascii="Times New Roman" w:hAnsi="Times New Roman"/>
          <w:i/>
          <w:color w:val="0070C0"/>
          <w:sz w:val="28"/>
          <w:szCs w:val="28"/>
        </w:rPr>
        <w:t xml:space="preserve">и сроки </w:t>
      </w:r>
      <w:r w:rsidR="009A0D52" w:rsidRPr="00940674">
        <w:rPr>
          <w:rFonts w:ascii="Times New Roman" w:hAnsi="Times New Roman"/>
          <w:i/>
          <w:color w:val="0070C0"/>
          <w:sz w:val="28"/>
          <w:szCs w:val="28"/>
        </w:rPr>
        <w:t xml:space="preserve">публикации сообщений </w:t>
      </w:r>
      <w:r w:rsidR="00CD4F05" w:rsidRPr="00940674">
        <w:rPr>
          <w:rFonts w:ascii="Times New Roman" w:hAnsi="Times New Roman"/>
          <w:i/>
          <w:color w:val="0070C0"/>
          <w:sz w:val="28"/>
          <w:szCs w:val="28"/>
        </w:rPr>
        <w:t xml:space="preserve">в сети «Интернет» </w:t>
      </w:r>
      <w:r w:rsidR="00C34F96" w:rsidRPr="00940674">
        <w:rPr>
          <w:rFonts w:ascii="Times New Roman" w:hAnsi="Times New Roman"/>
          <w:i/>
          <w:color w:val="0070C0"/>
          <w:sz w:val="28"/>
          <w:szCs w:val="28"/>
        </w:rPr>
        <w:t xml:space="preserve">и размещения информации на территории </w:t>
      </w:r>
      <w:r w:rsidR="00DD0AB5">
        <w:rPr>
          <w:rFonts w:ascii="Times New Roman" w:hAnsi="Times New Roman"/>
          <w:i/>
          <w:color w:val="0070C0"/>
          <w:sz w:val="28"/>
          <w:szCs w:val="28"/>
        </w:rPr>
        <w:t>действия ЭПР</w:t>
      </w:r>
      <w:r w:rsidR="00DD0AB5" w:rsidRPr="00940674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9A0D52" w:rsidRPr="00940674">
        <w:rPr>
          <w:rFonts w:ascii="Times New Roman" w:hAnsi="Times New Roman"/>
          <w:i/>
          <w:color w:val="0070C0"/>
          <w:sz w:val="28"/>
          <w:szCs w:val="28"/>
        </w:rPr>
        <w:t>(например, на сайте субъекта ЭПР, в приложении</w:t>
      </w:r>
      <w:r w:rsidR="00C34F96" w:rsidRPr="00940674">
        <w:rPr>
          <w:rFonts w:ascii="Times New Roman" w:hAnsi="Times New Roman"/>
          <w:i/>
          <w:color w:val="0070C0"/>
          <w:sz w:val="28"/>
          <w:szCs w:val="28"/>
        </w:rPr>
        <w:t>, в печатных СМИ, с использованием вывесок, стендов на территориях субъектов ЭПР, оказывающих услуги клиентам с использованием цифровых технологий, апробируемых в рамках ЭПР).</w:t>
      </w:r>
    </w:p>
    <w:p w:rsidR="00810B9A" w:rsidRPr="00940674" w:rsidRDefault="005735E2" w:rsidP="000B5A8B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40674">
        <w:rPr>
          <w:rFonts w:ascii="Times New Roman" w:hAnsi="Times New Roman"/>
          <w:i/>
          <w:color w:val="0070C0"/>
          <w:sz w:val="28"/>
          <w:szCs w:val="28"/>
        </w:rPr>
        <w:t>Е</w:t>
      </w:r>
      <w:r w:rsidR="00810B9A" w:rsidRPr="00940674">
        <w:rPr>
          <w:rFonts w:ascii="Times New Roman" w:hAnsi="Times New Roman"/>
          <w:i/>
          <w:color w:val="0070C0"/>
          <w:sz w:val="28"/>
          <w:szCs w:val="28"/>
        </w:rPr>
        <w:t xml:space="preserve">сли в связи с деятельностью, осуществляемой в рамках реализации </w:t>
      </w:r>
      <w:r w:rsidR="00EC1E26" w:rsidRPr="00940674">
        <w:rPr>
          <w:rFonts w:ascii="Times New Roman" w:hAnsi="Times New Roman"/>
          <w:i/>
          <w:color w:val="0070C0"/>
          <w:sz w:val="28"/>
          <w:szCs w:val="28"/>
        </w:rPr>
        <w:t>ЭПР</w:t>
      </w:r>
      <w:r w:rsidR="00810B9A" w:rsidRPr="00940674">
        <w:rPr>
          <w:rFonts w:ascii="Times New Roman" w:hAnsi="Times New Roman"/>
          <w:i/>
          <w:color w:val="0070C0"/>
          <w:sz w:val="28"/>
          <w:szCs w:val="28"/>
        </w:rPr>
        <w:t xml:space="preserve">, могут быть затронуты права и законные интересы лиц, не вступающих в правоотношения с субъектом </w:t>
      </w:r>
      <w:r w:rsidR="00EC1E26" w:rsidRPr="00940674">
        <w:rPr>
          <w:rFonts w:ascii="Times New Roman" w:hAnsi="Times New Roman"/>
          <w:i/>
          <w:color w:val="0070C0"/>
          <w:sz w:val="28"/>
          <w:szCs w:val="28"/>
        </w:rPr>
        <w:t>ЭПР</w:t>
      </w:r>
      <w:r w:rsidR="00810B9A" w:rsidRPr="00940674">
        <w:rPr>
          <w:rFonts w:ascii="Times New Roman" w:hAnsi="Times New Roman"/>
          <w:i/>
          <w:color w:val="0070C0"/>
          <w:sz w:val="28"/>
          <w:szCs w:val="28"/>
        </w:rPr>
        <w:t xml:space="preserve"> при реализации</w:t>
      </w:r>
      <w:r w:rsidR="00163748">
        <w:rPr>
          <w:rFonts w:ascii="Times New Roman" w:hAnsi="Times New Roman"/>
          <w:i/>
          <w:color w:val="0070C0"/>
          <w:sz w:val="28"/>
          <w:szCs w:val="28"/>
        </w:rPr>
        <w:t xml:space="preserve"> ЭПР</w:t>
      </w:r>
      <w:r w:rsidR="00810B9A" w:rsidRPr="00940674">
        <w:rPr>
          <w:rFonts w:ascii="Times New Roman" w:hAnsi="Times New Roman"/>
          <w:i/>
          <w:color w:val="0070C0"/>
          <w:sz w:val="28"/>
          <w:szCs w:val="28"/>
        </w:rPr>
        <w:t xml:space="preserve">, </w:t>
      </w:r>
      <w:r w:rsidR="00EC1E26" w:rsidRPr="00940674">
        <w:rPr>
          <w:rFonts w:ascii="Times New Roman" w:hAnsi="Times New Roman"/>
          <w:i/>
          <w:color w:val="0070C0"/>
          <w:sz w:val="28"/>
          <w:szCs w:val="28"/>
        </w:rPr>
        <w:t xml:space="preserve">также </w:t>
      </w:r>
      <w:r w:rsidR="00810B9A" w:rsidRPr="00940674">
        <w:rPr>
          <w:rFonts w:ascii="Times New Roman" w:hAnsi="Times New Roman"/>
          <w:i/>
          <w:color w:val="0070C0"/>
          <w:sz w:val="28"/>
          <w:szCs w:val="28"/>
        </w:rPr>
        <w:t>указываются требования к дополнительным опубликованию и размещению такой информации.</w:t>
      </w:r>
    </w:p>
    <w:p w:rsidR="00810B9A" w:rsidRPr="000A6779" w:rsidRDefault="00810B9A" w:rsidP="00A2270B">
      <w:pPr>
        <w:pStyle w:val="ConsPlusTitle"/>
        <w:spacing w:before="480" w:after="240" w:line="36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A6779">
        <w:rPr>
          <w:rFonts w:ascii="Times New Roman" w:hAnsi="Times New Roman" w:cs="Times New Roman"/>
          <w:color w:val="000000"/>
          <w:sz w:val="28"/>
          <w:szCs w:val="28"/>
        </w:rPr>
        <w:t>Глава 17</w:t>
      </w: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06129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0A67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>мониторинга экспериментального правового режима</w:t>
      </w:r>
    </w:p>
    <w:p w:rsidR="009F763F" w:rsidRPr="00940674" w:rsidRDefault="005735E2" w:rsidP="000B5A8B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940674">
        <w:rPr>
          <w:rFonts w:ascii="Times New Roman" w:hAnsi="Times New Roman"/>
          <w:i/>
          <w:color w:val="0070C0"/>
          <w:sz w:val="28"/>
          <w:szCs w:val="28"/>
        </w:rPr>
        <w:t>При отсутствии необходимости закрепления дополнительных положений о порядке мониторинга допускается отсылка к нормам Федерального закона № 258-ФЗ и Указания Банка России № 5680-У.</w:t>
      </w:r>
    </w:p>
    <w:p w:rsidR="009C7E20" w:rsidRPr="000A6779" w:rsidRDefault="009C7E20" w:rsidP="00A2270B">
      <w:pPr>
        <w:pStyle w:val="ConsPlusTitle"/>
        <w:spacing w:before="480" w:after="240" w:line="36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A6779">
        <w:rPr>
          <w:rFonts w:ascii="Times New Roman" w:hAnsi="Times New Roman" w:cs="Times New Roman"/>
          <w:color w:val="000000"/>
          <w:sz w:val="28"/>
          <w:szCs w:val="28"/>
        </w:rPr>
        <w:t xml:space="preserve">Глава 18. </w:t>
      </w:r>
      <w:r w:rsidRPr="00206129">
        <w:rPr>
          <w:rFonts w:ascii="Times New Roman" w:hAnsi="Times New Roman" w:cs="Times New Roman"/>
          <w:color w:val="000000"/>
          <w:sz w:val="28"/>
          <w:szCs w:val="28"/>
        </w:rPr>
        <w:t>Порядок и условия использования продукции, произведенной и (или) апробируемой при реализации экспериментального</w:t>
      </w:r>
      <w:r w:rsidR="00C34F96">
        <w:rPr>
          <w:rFonts w:ascii="Times New Roman" w:hAnsi="Times New Roman" w:cs="Times New Roman"/>
          <w:color w:val="000000"/>
          <w:sz w:val="28"/>
          <w:szCs w:val="28"/>
        </w:rPr>
        <w:t xml:space="preserve"> правового режима</w:t>
      </w:r>
    </w:p>
    <w:p w:rsidR="009F763F" w:rsidRPr="00940674" w:rsidRDefault="009F763F" w:rsidP="000B5A8B">
      <w:pPr>
        <w:pStyle w:val="ad"/>
        <w:spacing w:after="0" w:line="276" w:lineRule="auto"/>
        <w:ind w:firstLine="709"/>
        <w:contextualSpacing/>
        <w:jc w:val="both"/>
        <w:rPr>
          <w:i/>
          <w:color w:val="0070C0"/>
          <w:sz w:val="28"/>
          <w:szCs w:val="28"/>
        </w:rPr>
      </w:pPr>
      <w:r w:rsidRPr="00940674">
        <w:rPr>
          <w:i/>
          <w:color w:val="0070C0"/>
          <w:sz w:val="28"/>
          <w:szCs w:val="28"/>
        </w:rPr>
        <w:t>При отсутствии необходимости установления специальных положений указывается соответствующая норма.</w:t>
      </w:r>
    </w:p>
    <w:p w:rsidR="001727D2" w:rsidRPr="009F763F" w:rsidRDefault="00810B9A" w:rsidP="00A2270B">
      <w:pPr>
        <w:pStyle w:val="ConsPlusTitle"/>
        <w:spacing w:before="480" w:after="240" w:line="36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A677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B503C" w:rsidRPr="000A6779">
        <w:rPr>
          <w:rFonts w:ascii="Times New Roman" w:hAnsi="Times New Roman" w:cs="Times New Roman"/>
          <w:color w:val="000000"/>
          <w:sz w:val="28"/>
          <w:szCs w:val="28"/>
        </w:rPr>
        <w:t>лава 19</w:t>
      </w:r>
      <w:r w:rsidRPr="009F76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727D2" w:rsidRPr="009F763F">
        <w:rPr>
          <w:rFonts w:ascii="Times New Roman" w:hAnsi="Times New Roman" w:cs="Times New Roman"/>
          <w:color w:val="000000"/>
          <w:sz w:val="28"/>
          <w:szCs w:val="28"/>
        </w:rPr>
        <w:t>Порядок и условия использования результатов интеллектуальной деятельности, создаваемых в том числе с применением технологий искусственного интеллекта</w:t>
      </w:r>
      <w:bookmarkStart w:id="2" w:name="_GoBack"/>
      <w:bookmarkEnd w:id="2"/>
      <w:r w:rsidR="001727D2" w:rsidRPr="009F763F">
        <w:rPr>
          <w:rFonts w:ascii="Times New Roman" w:hAnsi="Times New Roman" w:cs="Times New Roman"/>
          <w:color w:val="000000"/>
          <w:sz w:val="28"/>
          <w:szCs w:val="28"/>
        </w:rPr>
        <w:t xml:space="preserve"> при реализации экспериментального правового режима</w:t>
      </w:r>
    </w:p>
    <w:p w:rsidR="001727D2" w:rsidRPr="00940674" w:rsidRDefault="009F763F" w:rsidP="000B5A8B">
      <w:pPr>
        <w:pStyle w:val="ad"/>
        <w:spacing w:after="0" w:line="276" w:lineRule="auto"/>
        <w:ind w:firstLine="709"/>
        <w:contextualSpacing/>
        <w:jc w:val="both"/>
        <w:rPr>
          <w:i/>
          <w:color w:val="0070C0"/>
          <w:sz w:val="28"/>
          <w:szCs w:val="28"/>
        </w:rPr>
      </w:pPr>
      <w:r w:rsidRPr="00940674">
        <w:rPr>
          <w:i/>
          <w:color w:val="0070C0"/>
          <w:sz w:val="28"/>
          <w:szCs w:val="28"/>
        </w:rPr>
        <w:t>При отсутствии необходимости установления специальных положений указывается соответствующая норма.</w:t>
      </w:r>
    </w:p>
    <w:p w:rsidR="00810B9A" w:rsidRPr="000A6779" w:rsidRDefault="001727D2" w:rsidP="00A2270B">
      <w:pPr>
        <w:pStyle w:val="ConsPlusTitle"/>
        <w:spacing w:before="480" w:after="240" w:line="36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779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Глава 20</w:t>
      </w:r>
      <w:r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10B9A" w:rsidRPr="000A6779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условия обезличивания и последующей обработки субъектом экспериментального правового режима персональных данных</w:t>
      </w:r>
    </w:p>
    <w:p w:rsidR="00810B9A" w:rsidRPr="00705A67" w:rsidRDefault="009F763F" w:rsidP="000B5A8B">
      <w:pPr>
        <w:pStyle w:val="ad"/>
        <w:spacing w:after="0" w:line="276" w:lineRule="auto"/>
        <w:ind w:firstLine="709"/>
        <w:contextualSpacing/>
        <w:jc w:val="both"/>
        <w:rPr>
          <w:i/>
          <w:color w:val="0070C0"/>
          <w:sz w:val="28"/>
          <w:szCs w:val="28"/>
        </w:rPr>
      </w:pPr>
      <w:r w:rsidRPr="00705A67">
        <w:rPr>
          <w:i/>
          <w:color w:val="0070C0"/>
          <w:sz w:val="28"/>
          <w:szCs w:val="28"/>
        </w:rPr>
        <w:t>При отсутствии необходимости установления специальных положений указывается соответствующая норма.</w:t>
      </w:r>
    </w:p>
    <w:p w:rsidR="008B503C" w:rsidRPr="000A6779" w:rsidRDefault="008B503C" w:rsidP="00A2270B">
      <w:pPr>
        <w:pStyle w:val="ConsPlusTitle"/>
        <w:spacing w:before="480" w:after="240" w:line="36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A6779">
        <w:rPr>
          <w:rFonts w:ascii="Times New Roman" w:hAnsi="Times New Roman" w:cs="Times New Roman"/>
          <w:color w:val="000000"/>
          <w:sz w:val="28"/>
          <w:szCs w:val="28"/>
        </w:rPr>
        <w:t>Глава 2</w:t>
      </w:r>
      <w:r w:rsidR="001727D2" w:rsidRPr="000A677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A6779">
        <w:rPr>
          <w:rFonts w:ascii="Times New Roman" w:hAnsi="Times New Roman" w:cs="Times New Roman"/>
          <w:color w:val="000000"/>
          <w:sz w:val="28"/>
          <w:szCs w:val="28"/>
        </w:rPr>
        <w:t>. Положения о страховании гражданской ответственности участников экспериментального правового режима, являющихся юридическими лицами и индивидуальными предпринимателями, за причинение вреда жизни, здоровью или имуществу других лиц при реализации экспе</w:t>
      </w:r>
      <w:r w:rsidR="00C34F96">
        <w:rPr>
          <w:rFonts w:ascii="Times New Roman" w:hAnsi="Times New Roman" w:cs="Times New Roman"/>
          <w:color w:val="000000"/>
          <w:sz w:val="28"/>
          <w:szCs w:val="28"/>
        </w:rPr>
        <w:t>риментального правового режима</w:t>
      </w:r>
    </w:p>
    <w:p w:rsidR="008B503C" w:rsidRPr="00705A67" w:rsidRDefault="009F763F" w:rsidP="000B5A8B">
      <w:pPr>
        <w:pStyle w:val="ad"/>
        <w:spacing w:after="0" w:line="276" w:lineRule="auto"/>
        <w:ind w:firstLine="709"/>
        <w:contextualSpacing/>
        <w:jc w:val="both"/>
        <w:rPr>
          <w:i/>
          <w:color w:val="0070C0"/>
          <w:sz w:val="28"/>
          <w:szCs w:val="28"/>
        </w:rPr>
      </w:pPr>
      <w:r w:rsidRPr="00705A67">
        <w:rPr>
          <w:i/>
          <w:color w:val="0070C0"/>
          <w:sz w:val="28"/>
          <w:szCs w:val="28"/>
        </w:rPr>
        <w:t>При отсутствии необходимости установления специальных положений указывается соответствующая норма.</w:t>
      </w:r>
    </w:p>
    <w:p w:rsidR="00810B9A" w:rsidRPr="009F763F" w:rsidRDefault="008B503C" w:rsidP="00A2270B">
      <w:pPr>
        <w:pStyle w:val="ConsPlusTitle"/>
        <w:spacing w:before="480" w:after="240" w:line="36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A6779">
        <w:rPr>
          <w:rFonts w:ascii="Times New Roman" w:hAnsi="Times New Roman" w:cs="Times New Roman"/>
          <w:color w:val="000000"/>
          <w:sz w:val="28"/>
          <w:szCs w:val="28"/>
        </w:rPr>
        <w:t>Глава 2</w:t>
      </w:r>
      <w:r w:rsidR="006C712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10B9A" w:rsidRPr="009F763F">
        <w:rPr>
          <w:rFonts w:ascii="Times New Roman" w:hAnsi="Times New Roman" w:cs="Times New Roman"/>
          <w:color w:val="000000"/>
          <w:sz w:val="28"/>
          <w:szCs w:val="28"/>
        </w:rPr>
        <w:t>. Иные сведения</w:t>
      </w:r>
    </w:p>
    <w:p w:rsidR="009517D7" w:rsidRPr="00705A67" w:rsidRDefault="000C6893" w:rsidP="000B5A8B">
      <w:pPr>
        <w:spacing w:line="276" w:lineRule="auto"/>
        <w:ind w:firstLine="709"/>
        <w:contextualSpacing/>
        <w:jc w:val="both"/>
        <w:rPr>
          <w:rFonts w:ascii="Times New Roman" w:hAnsi="Times New Roman"/>
          <w:i/>
          <w:color w:val="0070C0"/>
          <w:sz w:val="28"/>
          <w:szCs w:val="28"/>
        </w:rPr>
      </w:pPr>
      <w:r w:rsidRPr="00705A67">
        <w:rPr>
          <w:rFonts w:ascii="Times New Roman" w:hAnsi="Times New Roman"/>
          <w:i/>
          <w:color w:val="0070C0"/>
          <w:sz w:val="28"/>
          <w:szCs w:val="28"/>
        </w:rPr>
        <w:t>Указываются п</w:t>
      </w:r>
      <w:r w:rsidR="00810B9A" w:rsidRPr="00705A67">
        <w:rPr>
          <w:rFonts w:ascii="Times New Roman" w:hAnsi="Times New Roman"/>
          <w:i/>
          <w:color w:val="0070C0"/>
          <w:sz w:val="28"/>
          <w:szCs w:val="28"/>
        </w:rPr>
        <w:t>ри наличии.</w:t>
      </w:r>
    </w:p>
    <w:sectPr w:rsidR="009517D7" w:rsidRPr="00705A67" w:rsidSect="000226DC">
      <w:headerReference w:type="default" r:id="rId8"/>
      <w:pgSz w:w="11906" w:h="16838"/>
      <w:pgMar w:top="1224" w:right="566" w:bottom="1440" w:left="1133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498" w:rsidRDefault="00A30498">
      <w:pPr>
        <w:spacing w:after="0" w:line="240" w:lineRule="auto"/>
      </w:pPr>
      <w:r>
        <w:separator/>
      </w:r>
    </w:p>
  </w:endnote>
  <w:endnote w:type="continuationSeparator" w:id="0">
    <w:p w:rsidR="00A30498" w:rsidRDefault="00A3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498" w:rsidRDefault="00A30498">
      <w:pPr>
        <w:spacing w:after="0" w:line="240" w:lineRule="auto"/>
      </w:pPr>
      <w:r>
        <w:separator/>
      </w:r>
    </w:p>
  </w:footnote>
  <w:footnote w:type="continuationSeparator" w:id="0">
    <w:p w:rsidR="00A30498" w:rsidRDefault="00A30498">
      <w:pPr>
        <w:spacing w:after="0" w:line="240" w:lineRule="auto"/>
      </w:pPr>
      <w:r>
        <w:continuationSeparator/>
      </w:r>
    </w:p>
  </w:footnote>
  <w:footnote w:id="1">
    <w:p w:rsidR="00F07833" w:rsidRPr="00596538" w:rsidRDefault="00F07833" w:rsidP="00244217">
      <w:pPr>
        <w:pStyle w:val="af"/>
        <w:ind w:firstLine="851"/>
        <w:jc w:val="both"/>
        <w:rPr>
          <w:rFonts w:ascii="Times New Roman" w:hAnsi="Times New Roman"/>
        </w:rPr>
      </w:pPr>
      <w:r w:rsidRPr="00596538">
        <w:rPr>
          <w:rStyle w:val="af1"/>
          <w:rFonts w:ascii="Times New Roman" w:hAnsi="Times New Roman"/>
        </w:rPr>
        <w:footnoteRef/>
      </w:r>
      <w:r w:rsidRPr="00596538">
        <w:rPr>
          <w:rFonts w:ascii="Times New Roman" w:hAnsi="Times New Roman"/>
        </w:rPr>
        <w:t xml:space="preserve"> Федеральный закон от 31.07.2020 № 258-ФЗ </w:t>
      </w:r>
      <w:r w:rsidR="00FE2ADA" w:rsidRPr="00596538">
        <w:rPr>
          <w:rFonts w:ascii="Times New Roman" w:hAnsi="Times New Roman"/>
        </w:rPr>
        <w:t>«</w:t>
      </w:r>
      <w:r w:rsidRPr="00596538">
        <w:rPr>
          <w:rFonts w:ascii="Times New Roman" w:hAnsi="Times New Roman"/>
        </w:rPr>
        <w:t>Об экспериментальных правовых режимах в сфере цифровых и</w:t>
      </w:r>
      <w:r w:rsidR="00FE2ADA" w:rsidRPr="00596538">
        <w:rPr>
          <w:rFonts w:ascii="Times New Roman" w:hAnsi="Times New Roman"/>
        </w:rPr>
        <w:t>нноваций в Российской Федерации»</w:t>
      </w:r>
      <w:r w:rsidRPr="00596538">
        <w:rPr>
          <w:rFonts w:ascii="Times New Roman" w:hAnsi="Times New Roman"/>
        </w:rPr>
        <w:t>.</w:t>
      </w:r>
    </w:p>
  </w:footnote>
  <w:footnote w:id="2">
    <w:p w:rsidR="00FE2ADA" w:rsidRPr="00596538" w:rsidRDefault="00FE2ADA" w:rsidP="00244217">
      <w:pPr>
        <w:pStyle w:val="af"/>
        <w:ind w:firstLine="851"/>
        <w:jc w:val="both"/>
        <w:rPr>
          <w:rFonts w:ascii="Times New Roman" w:hAnsi="Times New Roman"/>
        </w:rPr>
      </w:pPr>
      <w:r w:rsidRPr="00596538">
        <w:rPr>
          <w:rStyle w:val="af1"/>
          <w:rFonts w:ascii="Times New Roman" w:hAnsi="Times New Roman"/>
        </w:rPr>
        <w:footnoteRef/>
      </w:r>
      <w:r w:rsidRPr="00596538">
        <w:rPr>
          <w:rFonts w:ascii="Times New Roman" w:hAnsi="Times New Roman"/>
        </w:rPr>
        <w:t xml:space="preserve"> Указание Банка России от 25.11.2020 № 5634-У «О перечне технологий, с применением которых вводятся в употребление, создаются или используются цифровые инновации на финансовом рынке в рамках экспериментальных правовых режимов в сфере цифровых инноваций».</w:t>
      </w:r>
    </w:p>
  </w:footnote>
  <w:footnote w:id="3">
    <w:p w:rsidR="00596538" w:rsidRPr="00596538" w:rsidRDefault="00596538" w:rsidP="00244217">
      <w:pPr>
        <w:pStyle w:val="af"/>
        <w:ind w:firstLine="851"/>
        <w:jc w:val="both"/>
        <w:rPr>
          <w:rFonts w:ascii="Times New Roman" w:hAnsi="Times New Roman"/>
        </w:rPr>
      </w:pPr>
      <w:r w:rsidRPr="00596538">
        <w:rPr>
          <w:rStyle w:val="af1"/>
          <w:rFonts w:ascii="Times New Roman" w:hAnsi="Times New Roman"/>
        </w:rPr>
        <w:footnoteRef/>
      </w:r>
      <w:r w:rsidRPr="00596538">
        <w:rPr>
          <w:rFonts w:ascii="Times New Roman" w:hAnsi="Times New Roman"/>
        </w:rPr>
        <w:t xml:space="preserve"> Указание Банка России от 25.12.2020 № 5679-У «О присоединении к экспериментальному правовому режиму в сфере цифровых инноваций на финансовом рынке, а также о приостановлении или прекращении статуса субъекта экспериментального правового режима в сфере цифровых инноваций на финансовом рынке».</w:t>
      </w:r>
    </w:p>
  </w:footnote>
  <w:footnote w:id="4">
    <w:p w:rsidR="00596538" w:rsidRPr="00596538" w:rsidRDefault="00596538" w:rsidP="00244217">
      <w:pPr>
        <w:pStyle w:val="af"/>
        <w:ind w:firstLine="851"/>
        <w:jc w:val="both"/>
        <w:rPr>
          <w:rFonts w:ascii="Times New Roman" w:hAnsi="Times New Roman"/>
        </w:rPr>
      </w:pPr>
      <w:r w:rsidRPr="00596538">
        <w:rPr>
          <w:rStyle w:val="af1"/>
          <w:rFonts w:ascii="Times New Roman" w:hAnsi="Times New Roman"/>
        </w:rPr>
        <w:footnoteRef/>
      </w:r>
      <w:r w:rsidRPr="00596538">
        <w:rPr>
          <w:rFonts w:ascii="Times New Roman" w:hAnsi="Times New Roman"/>
        </w:rPr>
        <w:t xml:space="preserve"> Указание Банк</w:t>
      </w:r>
      <w:r>
        <w:rPr>
          <w:rFonts w:ascii="Times New Roman" w:hAnsi="Times New Roman"/>
        </w:rPr>
        <w:t>а России от 25.12.2020 № 5677-У «</w:t>
      </w:r>
      <w:r w:rsidRPr="00596538">
        <w:rPr>
          <w:rFonts w:ascii="Times New Roman" w:hAnsi="Times New Roman"/>
        </w:rPr>
        <w:t>О порядке приостановления и прекращения действия экспериментального правового режима в сфере цифровых инноваций на финансовом рынке и о порядке уведомления субъектов экспериментального правового режима в сфере цифровых инноваций на финансовом рынке о приостановл</w:t>
      </w:r>
      <w:r>
        <w:rPr>
          <w:rFonts w:ascii="Times New Roman" w:hAnsi="Times New Roman"/>
        </w:rPr>
        <w:t>ении и прекращении его действия».</w:t>
      </w:r>
    </w:p>
  </w:footnote>
  <w:footnote w:id="5">
    <w:p w:rsidR="00E15ED7" w:rsidRPr="00596538" w:rsidRDefault="00E15ED7" w:rsidP="00244217">
      <w:pPr>
        <w:pStyle w:val="af"/>
        <w:ind w:firstLine="851"/>
        <w:jc w:val="both"/>
        <w:rPr>
          <w:rFonts w:ascii="Times New Roman" w:hAnsi="Times New Roman"/>
        </w:rPr>
      </w:pPr>
      <w:r w:rsidRPr="00596538">
        <w:rPr>
          <w:rStyle w:val="af1"/>
          <w:rFonts w:ascii="Times New Roman" w:hAnsi="Times New Roman"/>
        </w:rPr>
        <w:footnoteRef/>
      </w:r>
      <w:r w:rsidRPr="00596538">
        <w:rPr>
          <w:rFonts w:ascii="Times New Roman" w:hAnsi="Times New Roman"/>
        </w:rPr>
        <w:t xml:space="preserve"> Указание Банка России от 25.12.2020 № 5680-У «О порядке мониторинга экспериментального правового режима в сфере цифровых инноваций на финансовом рынке, оценки эффективности и результативности реализации такого экспериментального правового режима».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789" w:rsidRDefault="00810B9A" w:rsidP="009A0D5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B3A9D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767E7"/>
    <w:multiLevelType w:val="hybridMultilevel"/>
    <w:tmpl w:val="D13C63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B94450A"/>
    <w:multiLevelType w:val="hybridMultilevel"/>
    <w:tmpl w:val="9DA67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D440D0"/>
    <w:multiLevelType w:val="hybridMultilevel"/>
    <w:tmpl w:val="42343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E405E84"/>
    <w:multiLevelType w:val="hybridMultilevel"/>
    <w:tmpl w:val="C7AED948"/>
    <w:lvl w:ilvl="0" w:tplc="5712A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105798"/>
    <w:multiLevelType w:val="hybridMultilevel"/>
    <w:tmpl w:val="67F003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A5"/>
    <w:rsid w:val="00021286"/>
    <w:rsid w:val="00035A6F"/>
    <w:rsid w:val="00064E22"/>
    <w:rsid w:val="00090941"/>
    <w:rsid w:val="00091C74"/>
    <w:rsid w:val="000A6779"/>
    <w:rsid w:val="000B3A9D"/>
    <w:rsid w:val="000B5A8B"/>
    <w:rsid w:val="000C6893"/>
    <w:rsid w:val="00100E23"/>
    <w:rsid w:val="001336D9"/>
    <w:rsid w:val="001363ED"/>
    <w:rsid w:val="00142653"/>
    <w:rsid w:val="001472A5"/>
    <w:rsid w:val="00163748"/>
    <w:rsid w:val="001727D2"/>
    <w:rsid w:val="001D2039"/>
    <w:rsid w:val="001E7894"/>
    <w:rsid w:val="001F5128"/>
    <w:rsid w:val="00206129"/>
    <w:rsid w:val="00207344"/>
    <w:rsid w:val="00244217"/>
    <w:rsid w:val="00280072"/>
    <w:rsid w:val="002C16D7"/>
    <w:rsid w:val="002E5B15"/>
    <w:rsid w:val="00323822"/>
    <w:rsid w:val="00343CE4"/>
    <w:rsid w:val="003735A7"/>
    <w:rsid w:val="00393461"/>
    <w:rsid w:val="00417BE6"/>
    <w:rsid w:val="00436047"/>
    <w:rsid w:val="0046002B"/>
    <w:rsid w:val="0049243C"/>
    <w:rsid w:val="004C2505"/>
    <w:rsid w:val="004D338B"/>
    <w:rsid w:val="004F0A2C"/>
    <w:rsid w:val="00523B16"/>
    <w:rsid w:val="005735E2"/>
    <w:rsid w:val="00576656"/>
    <w:rsid w:val="00596538"/>
    <w:rsid w:val="005C4FBA"/>
    <w:rsid w:val="006B5AC8"/>
    <w:rsid w:val="006C7121"/>
    <w:rsid w:val="00705A67"/>
    <w:rsid w:val="0075693B"/>
    <w:rsid w:val="00794D79"/>
    <w:rsid w:val="007F24A5"/>
    <w:rsid w:val="00810B9A"/>
    <w:rsid w:val="00822611"/>
    <w:rsid w:val="00875D53"/>
    <w:rsid w:val="008B503C"/>
    <w:rsid w:val="00940674"/>
    <w:rsid w:val="009517D7"/>
    <w:rsid w:val="00984545"/>
    <w:rsid w:val="009A0D52"/>
    <w:rsid w:val="009C28FD"/>
    <w:rsid w:val="009C7E20"/>
    <w:rsid w:val="009F406D"/>
    <w:rsid w:val="009F763F"/>
    <w:rsid w:val="00A2270B"/>
    <w:rsid w:val="00A30498"/>
    <w:rsid w:val="00A53B33"/>
    <w:rsid w:val="00A67B89"/>
    <w:rsid w:val="00AA163E"/>
    <w:rsid w:val="00AF1B71"/>
    <w:rsid w:val="00B16CD6"/>
    <w:rsid w:val="00B31492"/>
    <w:rsid w:val="00C16DAD"/>
    <w:rsid w:val="00C33FEA"/>
    <w:rsid w:val="00C34F96"/>
    <w:rsid w:val="00C5537B"/>
    <w:rsid w:val="00C70095"/>
    <w:rsid w:val="00C7652C"/>
    <w:rsid w:val="00CA33F9"/>
    <w:rsid w:val="00CC0375"/>
    <w:rsid w:val="00CD4F05"/>
    <w:rsid w:val="00CD7A03"/>
    <w:rsid w:val="00CE6D75"/>
    <w:rsid w:val="00D00CD2"/>
    <w:rsid w:val="00D04EAF"/>
    <w:rsid w:val="00D44B29"/>
    <w:rsid w:val="00DA21AA"/>
    <w:rsid w:val="00DD0AB5"/>
    <w:rsid w:val="00DF7D0A"/>
    <w:rsid w:val="00E15ED7"/>
    <w:rsid w:val="00E42903"/>
    <w:rsid w:val="00E54613"/>
    <w:rsid w:val="00E94E85"/>
    <w:rsid w:val="00EC1E26"/>
    <w:rsid w:val="00F07833"/>
    <w:rsid w:val="00F63121"/>
    <w:rsid w:val="00F779C0"/>
    <w:rsid w:val="00F96C17"/>
    <w:rsid w:val="00FE11F3"/>
    <w:rsid w:val="00F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8818"/>
  <w15:chartTrackingRefBased/>
  <w15:docId w15:val="{F77E81C9-5822-4E01-81DA-D83D3E4F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9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10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10B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0B9A"/>
    <w:rPr>
      <w:rFonts w:eastAsiaTheme="minorEastAsia" w:cs="Times New Roman"/>
      <w:lang w:eastAsia="ru-RU"/>
    </w:rPr>
  </w:style>
  <w:style w:type="table" w:customStyle="1" w:styleId="1">
    <w:name w:val="Сетка таблицы1"/>
    <w:basedOn w:val="a1"/>
    <w:next w:val="a5"/>
    <w:uiPriority w:val="39"/>
    <w:rsid w:val="00810B9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10B9A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10B9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10B9A"/>
    <w:rPr>
      <w:rFonts w:eastAsiaTheme="minorEastAsia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81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10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0B9A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091C74"/>
    <w:pPr>
      <w:spacing w:line="240" w:lineRule="auto"/>
    </w:pPr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091C74"/>
    <w:rPr>
      <w:rFonts w:eastAsiaTheme="minorEastAsia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9C7E20"/>
    <w:rPr>
      <w:rFonts w:ascii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794D79"/>
    <w:pPr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F0783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F07833"/>
    <w:rPr>
      <w:rFonts w:eastAsiaTheme="minorEastAsia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07833"/>
    <w:rPr>
      <w:vertAlign w:val="superscript"/>
    </w:rPr>
  </w:style>
  <w:style w:type="paragraph" w:styleId="af2">
    <w:name w:val="footer"/>
    <w:basedOn w:val="a"/>
    <w:link w:val="af3"/>
    <w:uiPriority w:val="99"/>
    <w:unhideWhenUsed/>
    <w:rsid w:val="009A0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0D52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CE2F1-D22F-4C32-99E3-D7D4F566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1949</Words>
  <Characters>11112</Characters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2025-04-01T08:58:00Z</dcterms:created>
  <dcterms:modified xsi:type="dcterms:W3CDTF">2025-04-02T07:11:00Z</dcterms:modified>
</cp:coreProperties>
</file>