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70" w:rsidRPr="00FC4459" w:rsidRDefault="00024470" w:rsidP="009966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459">
        <w:rPr>
          <w:rFonts w:ascii="Times New Roman" w:hAnsi="Times New Roman" w:cs="Times New Roman"/>
          <w:b/>
          <w:sz w:val="24"/>
          <w:szCs w:val="24"/>
        </w:rPr>
        <w:t xml:space="preserve">Чек-лист самоконтроля </w:t>
      </w:r>
      <w:r w:rsidR="00CC00EB" w:rsidRPr="00FC4459">
        <w:rPr>
          <w:rFonts w:ascii="Times New Roman" w:hAnsi="Times New Roman" w:cs="Times New Roman"/>
          <w:b/>
          <w:sz w:val="24"/>
          <w:szCs w:val="24"/>
        </w:rPr>
        <w:t>при</w:t>
      </w:r>
      <w:r w:rsidRPr="00FC4459">
        <w:rPr>
          <w:rFonts w:ascii="Times New Roman" w:hAnsi="Times New Roman" w:cs="Times New Roman"/>
          <w:b/>
          <w:sz w:val="24"/>
          <w:szCs w:val="24"/>
        </w:rPr>
        <w:t xml:space="preserve"> заполнени</w:t>
      </w:r>
      <w:r w:rsidR="00CC00EB" w:rsidRPr="00FC4459">
        <w:rPr>
          <w:rFonts w:ascii="Times New Roman" w:hAnsi="Times New Roman" w:cs="Times New Roman"/>
          <w:b/>
          <w:sz w:val="24"/>
          <w:szCs w:val="24"/>
        </w:rPr>
        <w:t>и</w:t>
      </w:r>
      <w:r w:rsidRPr="00FC4459">
        <w:rPr>
          <w:rFonts w:ascii="Times New Roman" w:hAnsi="Times New Roman" w:cs="Times New Roman"/>
          <w:b/>
          <w:sz w:val="24"/>
          <w:szCs w:val="24"/>
        </w:rPr>
        <w:t xml:space="preserve"> справок о доходах, </w:t>
      </w:r>
      <w:r w:rsidR="001C585E" w:rsidRPr="00FC4459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FC4459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характера, представляемых </w:t>
      </w:r>
      <w:r w:rsidR="001F02EB" w:rsidRPr="00FC4459">
        <w:rPr>
          <w:rFonts w:ascii="Times New Roman" w:hAnsi="Times New Roman" w:cs="Times New Roman"/>
          <w:b/>
          <w:sz w:val="24"/>
          <w:szCs w:val="24"/>
        </w:rPr>
        <w:t xml:space="preserve">в ходе декларационной кампании </w:t>
      </w:r>
      <w:r w:rsidR="006118BA" w:rsidRPr="00FC4459">
        <w:rPr>
          <w:rFonts w:ascii="Times New Roman" w:hAnsi="Times New Roman" w:cs="Times New Roman"/>
          <w:b/>
          <w:sz w:val="24"/>
          <w:szCs w:val="24"/>
        </w:rPr>
        <w:t>202</w:t>
      </w:r>
      <w:r w:rsidR="00816ED3" w:rsidRPr="00FC4459">
        <w:rPr>
          <w:rFonts w:ascii="Times New Roman" w:hAnsi="Times New Roman" w:cs="Times New Roman"/>
          <w:b/>
          <w:sz w:val="24"/>
          <w:szCs w:val="24"/>
        </w:rPr>
        <w:t>1</w:t>
      </w:r>
      <w:r w:rsidR="006118BA" w:rsidRPr="00FC4459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FC4459">
        <w:rPr>
          <w:rFonts w:ascii="Times New Roman" w:hAnsi="Times New Roman" w:cs="Times New Roman"/>
          <w:b/>
          <w:sz w:val="24"/>
          <w:szCs w:val="24"/>
        </w:rPr>
        <w:t xml:space="preserve">служащим Банка России </w:t>
      </w:r>
      <w:r w:rsidR="00B74E63" w:rsidRPr="00FC4459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Pr="00FC4459">
        <w:rPr>
          <w:rFonts w:ascii="Times New Roman" w:hAnsi="Times New Roman" w:cs="Times New Roman"/>
          <w:b/>
          <w:sz w:val="24"/>
          <w:szCs w:val="24"/>
        </w:rPr>
        <w:t xml:space="preserve"> себя, </w:t>
      </w:r>
      <w:r w:rsidR="00B74E63" w:rsidRPr="00FC4459">
        <w:rPr>
          <w:rFonts w:ascii="Times New Roman" w:hAnsi="Times New Roman" w:cs="Times New Roman"/>
          <w:b/>
          <w:sz w:val="24"/>
          <w:szCs w:val="24"/>
        </w:rPr>
        <w:t xml:space="preserve">своей (своего) </w:t>
      </w:r>
      <w:r w:rsidRPr="00FC4459">
        <w:rPr>
          <w:rFonts w:ascii="Times New Roman" w:hAnsi="Times New Roman" w:cs="Times New Roman"/>
          <w:b/>
          <w:sz w:val="24"/>
          <w:szCs w:val="24"/>
        </w:rPr>
        <w:t>супруг</w:t>
      </w:r>
      <w:r w:rsidR="00B74E63" w:rsidRPr="00FC4459">
        <w:rPr>
          <w:rFonts w:ascii="Times New Roman" w:hAnsi="Times New Roman" w:cs="Times New Roman"/>
          <w:b/>
          <w:sz w:val="24"/>
          <w:szCs w:val="24"/>
        </w:rPr>
        <w:t>и</w:t>
      </w:r>
      <w:r w:rsidRPr="00FC4459">
        <w:rPr>
          <w:rFonts w:ascii="Times New Roman" w:hAnsi="Times New Roman" w:cs="Times New Roman"/>
          <w:b/>
          <w:sz w:val="24"/>
          <w:szCs w:val="24"/>
        </w:rPr>
        <w:t xml:space="preserve"> (супруга) и несовершеннолетних детей (краткий)</w:t>
      </w:r>
    </w:p>
    <w:p w:rsidR="00024470" w:rsidRPr="00FC4459" w:rsidRDefault="00024470" w:rsidP="0002447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C4459">
        <w:rPr>
          <w:rFonts w:ascii="Times New Roman" w:hAnsi="Times New Roman" w:cs="Times New Roman"/>
          <w:sz w:val="20"/>
          <w:szCs w:val="20"/>
        </w:rPr>
        <w:t>(«+» требование выполнено или неприменимо, «-» требование не выполнено)</w:t>
      </w:r>
    </w:p>
    <w:p w:rsidR="00BD0A95" w:rsidRPr="00FC4459" w:rsidRDefault="00BD0A95" w:rsidP="0002447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9447"/>
        <w:gridCol w:w="471"/>
        <w:gridCol w:w="425"/>
        <w:gridCol w:w="567"/>
      </w:tblGrid>
      <w:tr w:rsidR="00FC4459" w:rsidRPr="00FC4459" w:rsidTr="00BC29F2">
        <w:trPr>
          <w:trHeight w:val="303"/>
          <w:jc w:val="center"/>
        </w:trPr>
        <w:tc>
          <w:tcPr>
            <w:tcW w:w="9447" w:type="dxa"/>
            <w:vMerge w:val="restart"/>
            <w:vAlign w:val="center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для самоконтроля</w:t>
            </w:r>
          </w:p>
        </w:tc>
        <w:tc>
          <w:tcPr>
            <w:tcW w:w="1463" w:type="dxa"/>
            <w:gridSpan w:val="3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b/>
                <w:sz w:val="24"/>
                <w:szCs w:val="24"/>
              </w:rPr>
              <w:t>«+»/ «-»</w:t>
            </w:r>
          </w:p>
        </w:tc>
      </w:tr>
      <w:tr w:rsidR="00FC4459" w:rsidRPr="00FC4459" w:rsidTr="00CC00EB">
        <w:trPr>
          <w:cantSplit/>
          <w:trHeight w:val="1231"/>
          <w:jc w:val="center"/>
        </w:trPr>
        <w:tc>
          <w:tcPr>
            <w:tcW w:w="9447" w:type="dxa"/>
            <w:vMerge/>
            <w:vAlign w:val="center"/>
          </w:tcPr>
          <w:p w:rsidR="00BC29F2" w:rsidRPr="00FC4459" w:rsidRDefault="00BC29F2" w:rsidP="00BC29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1" w:type="dxa"/>
            <w:textDirection w:val="tbRl"/>
            <w:vAlign w:val="center"/>
          </w:tcPr>
          <w:p w:rsidR="00BC29F2" w:rsidRPr="00FC4459" w:rsidRDefault="00BC29F2" w:rsidP="00BC29F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459">
              <w:rPr>
                <w:rFonts w:ascii="Times New Roman" w:hAnsi="Times New Roman" w:cs="Times New Roman"/>
                <w:b/>
                <w:sz w:val="20"/>
                <w:szCs w:val="20"/>
              </w:rPr>
              <w:t>Служащий</w:t>
            </w:r>
          </w:p>
        </w:tc>
        <w:tc>
          <w:tcPr>
            <w:tcW w:w="425" w:type="dxa"/>
            <w:textDirection w:val="tbRl"/>
            <w:vAlign w:val="center"/>
          </w:tcPr>
          <w:p w:rsidR="00BC29F2" w:rsidRPr="00FC4459" w:rsidRDefault="00BC29F2" w:rsidP="00CC00EB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459">
              <w:rPr>
                <w:rFonts w:ascii="Times New Roman" w:hAnsi="Times New Roman" w:cs="Times New Roman"/>
                <w:b/>
                <w:sz w:val="20"/>
                <w:szCs w:val="20"/>
              </w:rPr>
              <w:t>Супруг (а)</w:t>
            </w:r>
          </w:p>
        </w:tc>
        <w:tc>
          <w:tcPr>
            <w:tcW w:w="567" w:type="dxa"/>
            <w:textDirection w:val="tbRl"/>
            <w:vAlign w:val="center"/>
          </w:tcPr>
          <w:p w:rsidR="00BC29F2" w:rsidRPr="00FC4459" w:rsidRDefault="00BC29F2" w:rsidP="00BC29F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459">
              <w:rPr>
                <w:rFonts w:ascii="Times New Roman" w:hAnsi="Times New Roman" w:cs="Times New Roman"/>
                <w:b/>
                <w:sz w:val="20"/>
                <w:szCs w:val="20"/>
              </w:rPr>
              <w:t>Н/</w:t>
            </w:r>
            <w:proofErr w:type="gramStart"/>
            <w:r w:rsidRPr="00FC445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FC4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ребенок</w:t>
            </w:r>
          </w:p>
        </w:tc>
      </w:tr>
      <w:tr w:rsidR="006A702D" w:rsidRPr="00FC4459" w:rsidTr="006A702D">
        <w:trPr>
          <w:cantSplit/>
          <w:trHeight w:val="263"/>
          <w:jc w:val="center"/>
        </w:trPr>
        <w:tc>
          <w:tcPr>
            <w:tcW w:w="10910" w:type="dxa"/>
            <w:gridSpan w:val="4"/>
            <w:vAlign w:val="center"/>
          </w:tcPr>
          <w:p w:rsidR="006A702D" w:rsidRPr="00FC4459" w:rsidRDefault="006A702D" w:rsidP="00BC29F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Титульный лист</w:t>
            </w:r>
          </w:p>
        </w:tc>
      </w:tr>
      <w:tr w:rsidR="00FC4459" w:rsidRPr="00FC4459" w:rsidTr="0010611A">
        <w:trPr>
          <w:jc w:val="center"/>
        </w:trPr>
        <w:tc>
          <w:tcPr>
            <w:tcW w:w="9447" w:type="dxa"/>
          </w:tcPr>
          <w:p w:rsidR="00DE0D78" w:rsidRPr="00FC4459" w:rsidRDefault="00AE508E" w:rsidP="000B1C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Заполнены все разделы Титульного листа (включая СНИЛС, адрес фактического проживания (при несовпадении с адресом регистрации)</w:t>
            </w:r>
            <w:r w:rsidR="006A702D">
              <w:rPr>
                <w:rFonts w:ascii="Times New Roman" w:hAnsi="Times New Roman" w:cs="Times New Roman"/>
                <w:sz w:val="24"/>
                <w:szCs w:val="24"/>
              </w:rPr>
              <w:t>, а также проверена правильность указания отчетного периода и отчетной даты</w:t>
            </w:r>
          </w:p>
        </w:tc>
        <w:tc>
          <w:tcPr>
            <w:tcW w:w="471" w:type="dxa"/>
          </w:tcPr>
          <w:p w:rsidR="00DE0D78" w:rsidRPr="00FC4459" w:rsidRDefault="00DE0D78" w:rsidP="00106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D78" w:rsidRPr="00FC4459" w:rsidRDefault="00DE0D78" w:rsidP="00106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0D78" w:rsidRPr="00FC4459" w:rsidRDefault="00DE0D78" w:rsidP="00106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2D" w:rsidRPr="00FC4459" w:rsidTr="006A702D">
        <w:trPr>
          <w:trHeight w:val="279"/>
          <w:jc w:val="center"/>
        </w:trPr>
        <w:tc>
          <w:tcPr>
            <w:tcW w:w="10910" w:type="dxa"/>
            <w:gridSpan w:val="4"/>
          </w:tcPr>
          <w:p w:rsidR="006A702D" w:rsidRPr="006A702D" w:rsidRDefault="006A702D" w:rsidP="006A70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0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</w:p>
        </w:tc>
      </w:tr>
      <w:tr w:rsidR="00FC4459" w:rsidRPr="00FC4459" w:rsidTr="0010611A">
        <w:trPr>
          <w:jc w:val="center"/>
        </w:trPr>
        <w:tc>
          <w:tcPr>
            <w:tcW w:w="9447" w:type="dxa"/>
          </w:tcPr>
          <w:p w:rsidR="00AE508E" w:rsidRPr="00FC4459" w:rsidRDefault="00AE508E" w:rsidP="000B1C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Отражен доход от работы в иной организации (структурном подразделении БР), где осуществлялась работа в прошлом году до назначения на должность, занимаемую на 31.12</w:t>
            </w:r>
          </w:p>
        </w:tc>
        <w:tc>
          <w:tcPr>
            <w:tcW w:w="471" w:type="dxa"/>
          </w:tcPr>
          <w:p w:rsidR="00AE508E" w:rsidRPr="00FC4459" w:rsidRDefault="00AE508E" w:rsidP="00106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508E" w:rsidRPr="00FC4459" w:rsidRDefault="00AE508E" w:rsidP="00106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08E" w:rsidRPr="00FC4459" w:rsidRDefault="00AE508E" w:rsidP="00106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BC29F2" w:rsidRPr="00FC4459" w:rsidRDefault="00BC29F2" w:rsidP="001A14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Отражен</w:t>
            </w:r>
            <w:r w:rsidR="00DE0D78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а годовая премия, выплаченная в прошлом году, 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A14DD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в иной организации (структурном подразделении БР), где осуществлялась работа в </w:t>
            </w:r>
            <w:r w:rsidR="00DE0D78" w:rsidRPr="00FC4459">
              <w:rPr>
                <w:rFonts w:ascii="Times New Roman" w:hAnsi="Times New Roman" w:cs="Times New Roman"/>
                <w:sz w:val="24"/>
                <w:szCs w:val="24"/>
              </w:rPr>
              <w:t>поза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прошлом году </w:t>
            </w:r>
          </w:p>
        </w:tc>
        <w:tc>
          <w:tcPr>
            <w:tcW w:w="471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BC29F2" w:rsidRPr="00FC4459" w:rsidRDefault="004202D0" w:rsidP="00BC29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Отражены доходы, полученные от реализации недвижимого имущества, транспортных средств (включая доходы по с</w:t>
            </w:r>
            <w:r w:rsidR="001E36BD" w:rsidRPr="00FC4459">
              <w:rPr>
                <w:rFonts w:ascii="Times New Roman" w:hAnsi="Times New Roman" w:cs="Times New Roman"/>
                <w:sz w:val="24"/>
                <w:szCs w:val="24"/>
              </w:rPr>
              <w:t>хеме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TRADE-IN), доли имущества и др., в том числе в случае продажи указанного имущества родственникам</w:t>
            </w:r>
          </w:p>
        </w:tc>
        <w:tc>
          <w:tcPr>
            <w:tcW w:w="471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9B1BDE" w:rsidRPr="00FC4459" w:rsidRDefault="00BC29F2" w:rsidP="009B1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Доход, полученный в иностранной валюте (драгоценном металле), указан в рублях по курсу Банка России на дату получения дохода</w:t>
            </w:r>
          </w:p>
          <w:p w:rsidR="00BC29F2" w:rsidRPr="00FC4459" w:rsidRDefault="009B1BDE" w:rsidP="009B1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C29F2" w:rsidRPr="00FC4459">
              <w:rPr>
                <w:rFonts w:ascii="Times New Roman" w:hAnsi="Times New Roman" w:cs="Times New Roman"/>
                <w:sz w:val="20"/>
                <w:szCs w:val="20"/>
              </w:rPr>
              <w:t>датой получения дохода по вкладам в банках является день выплаты дохода, в том числе день перечисления дохода на счет служащего либо по его поручению на счета третьих лиц, а не дата выписки</w:t>
            </w:r>
            <w:r w:rsidRPr="00FC44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1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204E26">
        <w:trPr>
          <w:jc w:val="center"/>
        </w:trPr>
        <w:tc>
          <w:tcPr>
            <w:tcW w:w="9447" w:type="dxa"/>
            <w:shd w:val="clear" w:color="auto" w:fill="FFFFFF" w:themeFill="background1"/>
          </w:tcPr>
          <w:p w:rsidR="00BC29F2" w:rsidRPr="00FC4459" w:rsidRDefault="00C53625" w:rsidP="00C5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Отражены все</w:t>
            </w:r>
            <w:r w:rsidR="00BC29F2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доходы, которые перечислены в пункт</w:t>
            </w:r>
            <w:r w:rsidR="00204E26" w:rsidRPr="00FC44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29F2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AF0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BC29F2" w:rsidRPr="00FC4459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(в том числе алименты, пенсия, стипендия</w:t>
            </w:r>
            <w:r w:rsidR="00BC29F2" w:rsidRPr="00FC44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BC29F2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71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204E26">
        <w:trPr>
          <w:jc w:val="center"/>
        </w:trPr>
        <w:tc>
          <w:tcPr>
            <w:tcW w:w="9447" w:type="dxa"/>
            <w:shd w:val="clear" w:color="auto" w:fill="FFFFFF" w:themeFill="background1"/>
          </w:tcPr>
          <w:p w:rsidR="00204E26" w:rsidRPr="00FC4459" w:rsidRDefault="00204E26" w:rsidP="00C5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ежемесячные и единовременные выплаты, а также субсидии, перечисленные в пункте 61 Методических </w:t>
            </w:r>
            <w:r w:rsidR="000D2C04" w:rsidRPr="00FC4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екомендаций</w:t>
            </w:r>
          </w:p>
        </w:tc>
        <w:tc>
          <w:tcPr>
            <w:tcW w:w="471" w:type="dxa"/>
          </w:tcPr>
          <w:p w:rsidR="00204E26" w:rsidRPr="00FC4459" w:rsidRDefault="00204E26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04E26" w:rsidRPr="00FC4459" w:rsidRDefault="00204E26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4E26" w:rsidRPr="00FC4459" w:rsidRDefault="00204E26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2D" w:rsidRPr="00FC4459" w:rsidTr="007A5887">
        <w:trPr>
          <w:jc w:val="center"/>
        </w:trPr>
        <w:tc>
          <w:tcPr>
            <w:tcW w:w="10910" w:type="dxa"/>
            <w:gridSpan w:val="4"/>
            <w:shd w:val="clear" w:color="auto" w:fill="FFFFFF" w:themeFill="background1"/>
          </w:tcPr>
          <w:p w:rsidR="006A702D" w:rsidRPr="006A702D" w:rsidRDefault="00CF43EA" w:rsidP="00374C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Подр</w:t>
            </w:r>
            <w:r w:rsidR="006A702D" w:rsidRPr="006A70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</w:t>
            </w: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BC29F2" w:rsidRPr="00FC4459" w:rsidRDefault="00BC29F2" w:rsidP="006A70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Указаны все </w:t>
            </w:r>
            <w:r w:rsidR="009B1BDE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недвижимого </w:t>
            </w:r>
            <w:r w:rsidR="009B1BDE" w:rsidRPr="006A702D">
              <w:rPr>
                <w:rFonts w:ascii="Times New Roman" w:hAnsi="Times New Roman" w:cs="Times New Roman"/>
                <w:sz w:val="24"/>
                <w:szCs w:val="24"/>
              </w:rPr>
              <w:t>имущества (</w:t>
            </w:r>
            <w:r w:rsidRPr="006A702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</w:t>
            </w:r>
            <w:r w:rsidR="009B1BDE" w:rsidRPr="006A702D">
              <w:rPr>
                <w:rFonts w:ascii="Times New Roman" w:hAnsi="Times New Roman" w:cs="Times New Roman"/>
                <w:sz w:val="24"/>
                <w:szCs w:val="24"/>
              </w:rPr>
              <w:t xml:space="preserve">дома, строения, и т.д.), </w:t>
            </w:r>
            <w:r w:rsidRPr="006A702D">
              <w:rPr>
                <w:rFonts w:ascii="Times New Roman" w:hAnsi="Times New Roman" w:cs="Times New Roman"/>
                <w:sz w:val="24"/>
                <w:szCs w:val="24"/>
              </w:rPr>
              <w:t>на которые имеется право собственности</w:t>
            </w:r>
            <w:r w:rsidR="006A702D" w:rsidRPr="006A702D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регистрационных документов и</w:t>
            </w:r>
            <w:r w:rsidR="006A702D" w:rsidRPr="006A702D">
              <w:rPr>
                <w:rFonts w:ascii="Times New Roman" w:hAnsi="Times New Roman"/>
                <w:sz w:val="24"/>
                <w:szCs w:val="24"/>
              </w:rPr>
              <w:t xml:space="preserve"> независимо от того, когда они были приобретены, в каком регионе Российской Федерации или в каком государстве зарегистрированы)</w:t>
            </w:r>
            <w:r w:rsidR="00204E26" w:rsidRPr="006A702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8B5F63" w:rsidRPr="006A70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</w:t>
            </w:r>
            <w:r w:rsidR="00204E26" w:rsidRPr="006A702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8B5F63" w:rsidRPr="006A70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C04" w:rsidRPr="006A7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F63" w:rsidRPr="006A702D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 в пункте 84 </w:t>
            </w:r>
            <w:r w:rsidR="00C26DD1" w:rsidRPr="006A702D">
              <w:rPr>
                <w:rFonts w:ascii="Times New Roman" w:hAnsi="Times New Roman" w:cs="Times New Roman"/>
                <w:sz w:val="24"/>
                <w:szCs w:val="24"/>
              </w:rPr>
              <w:t xml:space="preserve">и 85 </w:t>
            </w:r>
            <w:r w:rsidR="008B5F63" w:rsidRPr="006A702D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</w:p>
        </w:tc>
        <w:tc>
          <w:tcPr>
            <w:tcW w:w="471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C53625" w:rsidRPr="00FC4459" w:rsidRDefault="00C53625" w:rsidP="006A70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Указан отдельно </w:t>
            </w:r>
            <w:r w:rsidR="009B1BDE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участок под гаражным боксом в случае, если на гаражный бокс и земельный участок имеются два разных правоустанавливающих документа (если в собственности только строение, то земельный участок под ним находится в пользовании и отражается в разделе 6.1</w:t>
            </w:r>
            <w:r w:rsidR="009B1BDE" w:rsidRPr="00FC4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dxa"/>
          </w:tcPr>
          <w:p w:rsidR="00C53625" w:rsidRPr="00FC4459" w:rsidRDefault="00C53625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3625" w:rsidRPr="00FC4459" w:rsidRDefault="00C53625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625" w:rsidRPr="00FC4459" w:rsidRDefault="00C53625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0D2C04" w:rsidRPr="00FC4459" w:rsidRDefault="000D2C04" w:rsidP="00DE0D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В графе </w:t>
            </w:r>
            <w:r w:rsidR="005C7B4E" w:rsidRPr="00FC4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Основания приобретения и источники средств</w:t>
            </w:r>
            <w:r w:rsidR="005C7B4E" w:rsidRPr="00FC4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официальные наименования документов с соответствующими реквизитами (Свидетельство о государственной регистрации права 50 НД № 776723 от 17 марта 2010 г.; Запись в ЕГРН № 77:02:0014017:1994-72/004/2020-2 от 27 марта 2020 г.; договор купли-продажи 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br/>
              <w:t>от 19 февраля 2020 г. или иное)</w:t>
            </w:r>
          </w:p>
        </w:tc>
        <w:tc>
          <w:tcPr>
            <w:tcW w:w="471" w:type="dxa"/>
          </w:tcPr>
          <w:p w:rsidR="000D2C04" w:rsidRPr="00FC4459" w:rsidRDefault="000D2C04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2C04" w:rsidRPr="00FC4459" w:rsidRDefault="000D2C04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C04" w:rsidRPr="00FC4459" w:rsidRDefault="000D2C04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A" w:rsidRPr="00FC4459" w:rsidTr="00315D0C">
        <w:trPr>
          <w:jc w:val="center"/>
        </w:trPr>
        <w:tc>
          <w:tcPr>
            <w:tcW w:w="10910" w:type="dxa"/>
            <w:gridSpan w:val="4"/>
          </w:tcPr>
          <w:p w:rsidR="00CF43EA" w:rsidRPr="00FC4459" w:rsidRDefault="00CF43EA" w:rsidP="00CF43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Подр</w:t>
            </w:r>
            <w:r w:rsidRPr="006A70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</w:t>
            </w: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6A702D" w:rsidRDefault="00BC29F2" w:rsidP="006A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Указаны все транспортные средства, находящиеся в собственности, независимо от </w:t>
            </w:r>
            <w:r w:rsidR="00C53625" w:rsidRPr="00FC4459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</w:t>
            </w:r>
            <w:r w:rsidR="00C53625" w:rsidRPr="00FC4459">
              <w:rPr>
                <w:rFonts w:ascii="Times New Roman" w:hAnsi="Times New Roman" w:cs="Times New Roman"/>
                <w:sz w:val="24"/>
                <w:szCs w:val="24"/>
              </w:rPr>
              <w:t>ия, региона РФ,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625" w:rsidRPr="00FC4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регистр</w:t>
            </w:r>
            <w:r w:rsidR="00C53625" w:rsidRPr="00FC4459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переданные в пользование по доверенности, </w:t>
            </w:r>
            <w:r w:rsidR="009B1BDE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находящиеся в угоне, в залоге у банка, полностью негодные к эксплуатации, снятые с регистрационного учета и т.д</w:t>
            </w:r>
            <w:r w:rsidR="00C53625" w:rsidRPr="00FC4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E6" w:rsidRPr="00FC4459" w:rsidRDefault="003403E6" w:rsidP="006A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1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2D" w:rsidRPr="00FC4459" w:rsidTr="00292D1D">
        <w:trPr>
          <w:jc w:val="center"/>
        </w:trPr>
        <w:tc>
          <w:tcPr>
            <w:tcW w:w="10910" w:type="dxa"/>
            <w:gridSpan w:val="4"/>
          </w:tcPr>
          <w:p w:rsidR="006A702D" w:rsidRPr="006A702D" w:rsidRDefault="006A702D" w:rsidP="00374C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0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4</w:t>
            </w:r>
          </w:p>
        </w:tc>
      </w:tr>
      <w:tr w:rsidR="00FC4459" w:rsidRPr="00FC4459" w:rsidTr="00BC29F2">
        <w:trPr>
          <w:trHeight w:val="766"/>
          <w:jc w:val="center"/>
        </w:trPr>
        <w:tc>
          <w:tcPr>
            <w:tcW w:w="9447" w:type="dxa"/>
          </w:tcPr>
          <w:p w:rsidR="00BC29F2" w:rsidRPr="00FC4459" w:rsidRDefault="00BC29F2" w:rsidP="006707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Указаны все счета</w:t>
            </w:r>
            <w:r w:rsidR="00F12CEB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(зарплатные, расчетные, кредитные и т.д.)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, открытые в кредитных организациях, в том числе счета, совершение операций по которым осуществляется с использованием </w:t>
            </w:r>
            <w:r w:rsidR="009B1BDE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банковских 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</w:p>
        </w:tc>
        <w:tc>
          <w:tcPr>
            <w:tcW w:w="471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BC29F2" w:rsidRPr="00FC4459" w:rsidRDefault="00C53625" w:rsidP="00F12C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Указана достоверная информация </w:t>
            </w:r>
            <w:r w:rsidR="00236750" w:rsidRPr="00FC4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750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банке и иной кредитной 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организации об остатках по счетам, дате открытия</w:t>
            </w:r>
            <w:r w:rsidR="00F12CEB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счета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2CEB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="00BC29F2" w:rsidRPr="00FC4459">
              <w:rPr>
                <w:rFonts w:ascii="Times New Roman" w:hAnsi="Times New Roman" w:cs="Times New Roman"/>
                <w:sz w:val="24"/>
                <w:szCs w:val="24"/>
              </w:rPr>
              <w:t>и валют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29F2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счета </w:t>
            </w:r>
          </w:p>
        </w:tc>
        <w:tc>
          <w:tcPr>
            <w:tcW w:w="471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BC29F2" w:rsidRPr="00FC4459" w:rsidRDefault="00C53625" w:rsidP="00C536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Указан б</w:t>
            </w:r>
            <w:r w:rsidR="00BC29F2" w:rsidRPr="00FC4459">
              <w:rPr>
                <w:rFonts w:ascii="Times New Roman" w:hAnsi="Times New Roman" w:cs="Times New Roman"/>
                <w:sz w:val="24"/>
                <w:szCs w:val="24"/>
              </w:rPr>
              <w:t>анковский счет, открываемый при выдаче «Социальной карты москвича»</w:t>
            </w:r>
          </w:p>
        </w:tc>
        <w:tc>
          <w:tcPr>
            <w:tcW w:w="471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236750" w:rsidRPr="00FC4459" w:rsidRDefault="00236750" w:rsidP="00C536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Указана информация о совместном счете</w:t>
            </w:r>
            <w:r w:rsidR="009406F8" w:rsidRPr="00FC4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заключения договора банковского счета с несколькими клиентами (совместный счет)</w:t>
            </w:r>
            <w:r w:rsidR="009406F8" w:rsidRPr="00FC4459">
              <w:rPr>
                <w:rFonts w:ascii="Times New Roman" w:hAnsi="Times New Roman" w:cs="Times New Roman"/>
                <w:sz w:val="24"/>
                <w:szCs w:val="24"/>
              </w:rPr>
              <w:t>. При заключении договора совместного счета клиентами-супругами в каждой подаваемой справке представлена идентичная информация о таком счете</w:t>
            </w:r>
          </w:p>
        </w:tc>
        <w:tc>
          <w:tcPr>
            <w:tcW w:w="471" w:type="dxa"/>
          </w:tcPr>
          <w:p w:rsidR="00236750" w:rsidRPr="00FC4459" w:rsidRDefault="00236750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50" w:rsidRPr="00FC4459" w:rsidRDefault="00236750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750" w:rsidRPr="00FC4459" w:rsidRDefault="00236750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236750" w:rsidRPr="00FC4459" w:rsidRDefault="00236750" w:rsidP="00C536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общая сумма денежных поступлений на счет не превышает общий доход </w:t>
            </w:r>
            <w:r w:rsidR="00B37D70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супругов 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и два предшествующих года, то в СПО </w:t>
            </w:r>
            <w:r w:rsidR="00FC4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 w:rsidR="00FC4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подтверждено данное обстоятельство путем проставления </w:t>
            </w:r>
            <w:r w:rsidR="00FC4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флажка</w:t>
            </w:r>
            <w:r w:rsidR="00FC4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FC4459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] напротив соответствующей позиции. В противном случае соответствующая графа «Сумма поступивших на счет денежных средств» заполнена</w:t>
            </w:r>
            <w:r w:rsidR="006A702D">
              <w:rPr>
                <w:rFonts w:ascii="Times New Roman" w:hAnsi="Times New Roman" w:cs="Times New Roman"/>
                <w:sz w:val="24"/>
                <w:szCs w:val="24"/>
              </w:rPr>
              <w:t xml:space="preserve"> и выписка по счету приложена</w:t>
            </w:r>
          </w:p>
        </w:tc>
        <w:tc>
          <w:tcPr>
            <w:tcW w:w="471" w:type="dxa"/>
          </w:tcPr>
          <w:p w:rsidR="00236750" w:rsidRPr="00FC4459" w:rsidRDefault="00236750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50" w:rsidRPr="00FC4459" w:rsidRDefault="00236750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750" w:rsidRPr="00FC4459" w:rsidRDefault="00236750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2D" w:rsidRPr="00FC4459" w:rsidTr="009320F7">
        <w:trPr>
          <w:jc w:val="center"/>
        </w:trPr>
        <w:tc>
          <w:tcPr>
            <w:tcW w:w="10910" w:type="dxa"/>
            <w:gridSpan w:val="4"/>
          </w:tcPr>
          <w:p w:rsidR="006A702D" w:rsidRPr="006A702D" w:rsidRDefault="006A702D" w:rsidP="00374C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0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5</w:t>
            </w: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9406F8" w:rsidRPr="00FC4459" w:rsidRDefault="009406F8" w:rsidP="00C5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Указаны сведения об имеющихся ценных бумагах, долях участия в уставных капиталах коммерческих организаций и фондах, в том числе переданных в доверительное управление</w:t>
            </w:r>
          </w:p>
        </w:tc>
        <w:tc>
          <w:tcPr>
            <w:tcW w:w="471" w:type="dxa"/>
          </w:tcPr>
          <w:p w:rsidR="009406F8" w:rsidRPr="00FC4459" w:rsidRDefault="009406F8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F8" w:rsidRPr="00FC4459" w:rsidRDefault="009406F8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F8" w:rsidRPr="00FC4459" w:rsidRDefault="009406F8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2D" w:rsidRPr="00FC4459" w:rsidTr="00BC29F2">
        <w:trPr>
          <w:jc w:val="center"/>
        </w:trPr>
        <w:tc>
          <w:tcPr>
            <w:tcW w:w="9447" w:type="dxa"/>
          </w:tcPr>
          <w:p w:rsidR="006A702D" w:rsidRPr="00FC4459" w:rsidRDefault="006A702D" w:rsidP="00C5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2D">
              <w:rPr>
                <w:rFonts w:ascii="Times New Roman" w:hAnsi="Times New Roman" w:cs="Times New Roman"/>
                <w:sz w:val="24"/>
                <w:szCs w:val="24"/>
              </w:rPr>
              <w:t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отражены в разных строках</w:t>
            </w:r>
          </w:p>
        </w:tc>
        <w:tc>
          <w:tcPr>
            <w:tcW w:w="471" w:type="dxa"/>
          </w:tcPr>
          <w:p w:rsidR="006A702D" w:rsidRPr="00FC4459" w:rsidRDefault="006A702D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702D" w:rsidRPr="00FC4459" w:rsidRDefault="006A702D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02D" w:rsidRPr="00FC4459" w:rsidRDefault="006A702D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2D" w:rsidRPr="00FC4459" w:rsidTr="00295DDA">
        <w:trPr>
          <w:jc w:val="center"/>
        </w:trPr>
        <w:tc>
          <w:tcPr>
            <w:tcW w:w="10910" w:type="dxa"/>
            <w:gridSpan w:val="4"/>
          </w:tcPr>
          <w:p w:rsidR="006A702D" w:rsidRPr="006A702D" w:rsidRDefault="00CF43EA" w:rsidP="00374C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Подр</w:t>
            </w:r>
            <w:r w:rsidR="006A702D" w:rsidRPr="006A70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аздел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</w:t>
            </w: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BC29F2" w:rsidRPr="00FC4459" w:rsidRDefault="00BC29F2" w:rsidP="00C5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Указано все </w:t>
            </w:r>
            <w:r w:rsidR="00C53625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используемое (не в собственности) 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(муниципальное, ведом</w:t>
            </w:r>
            <w:r w:rsidR="00C53625" w:rsidRPr="00FC4459">
              <w:rPr>
                <w:rFonts w:ascii="Times New Roman" w:hAnsi="Times New Roman" w:cs="Times New Roman"/>
                <w:sz w:val="24"/>
                <w:szCs w:val="24"/>
              </w:rPr>
              <w:t>ственное, арендованное и т.п.)</w:t>
            </w:r>
            <w:r w:rsidR="009406F8" w:rsidRPr="00FC4459">
              <w:rPr>
                <w:rFonts w:ascii="Times New Roman" w:hAnsi="Times New Roman" w:cs="Times New Roman"/>
                <w:sz w:val="24"/>
                <w:szCs w:val="24"/>
              </w:rPr>
              <w:t>, а также основание пользования (договор аренды, фактическое предоставление и др.)</w:t>
            </w:r>
          </w:p>
        </w:tc>
        <w:tc>
          <w:tcPr>
            <w:tcW w:w="471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37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BC29F2" w:rsidRPr="00FC4459" w:rsidRDefault="009966DA" w:rsidP="0070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A">
              <w:rPr>
                <w:rFonts w:ascii="Times New Roman" w:hAnsi="Times New Roman" w:cs="Times New Roman"/>
                <w:sz w:val="24"/>
                <w:szCs w:val="24"/>
              </w:rPr>
              <w:t>Объект недвижимости, находящийся в собственности одного из супругов, в случае совместного проживания в нем или пользования им, указан в пользовании у остальных членов семьи</w:t>
            </w:r>
          </w:p>
        </w:tc>
        <w:tc>
          <w:tcPr>
            <w:tcW w:w="471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BC29F2" w:rsidRPr="00FC4459" w:rsidRDefault="00BC29F2" w:rsidP="00BD0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Отражена информация о пользовании объектом недвижимо</w:t>
            </w:r>
            <w:r w:rsidR="000138F3" w:rsidRPr="00FC445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, который отражен на титульном листе справки в качестве места регистрации или места фактического проживания, но не указан в подразделе 3.1</w:t>
            </w:r>
          </w:p>
        </w:tc>
        <w:tc>
          <w:tcPr>
            <w:tcW w:w="471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BC29F2" w:rsidRPr="00FC4459" w:rsidRDefault="00BD0A95" w:rsidP="00590D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Отражена информация о пользовании объектами недвижимости, </w:t>
            </w:r>
            <w:r w:rsidR="00BC29F2" w:rsidRPr="00FC4459">
              <w:rPr>
                <w:rFonts w:ascii="Times New Roman" w:hAnsi="Times New Roman" w:cs="Times New Roman"/>
                <w:sz w:val="24"/>
                <w:szCs w:val="24"/>
              </w:rPr>
              <w:t>полученны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C29F2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гражданско-правовых сделок</w:t>
            </w:r>
            <w:r w:rsidR="00C53625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0D2C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купля-продажа, </w:t>
            </w:r>
            <w:r w:rsidR="00BC29F2" w:rsidRPr="00FC4459">
              <w:rPr>
                <w:rFonts w:ascii="Times New Roman" w:hAnsi="Times New Roman" w:cs="Times New Roman"/>
                <w:sz w:val="24"/>
                <w:szCs w:val="24"/>
              </w:rPr>
              <w:t>дарени</w:t>
            </w:r>
            <w:r w:rsidR="00C53625" w:rsidRPr="00FC44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29F2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), право собственности на которые не зарегистрировано </w:t>
            </w:r>
            <w:r w:rsidR="00CC00EB" w:rsidRPr="00FC4459">
              <w:rPr>
                <w:rFonts w:ascii="Times New Roman" w:hAnsi="Times New Roman" w:cs="Times New Roman"/>
                <w:sz w:val="24"/>
                <w:szCs w:val="24"/>
              </w:rPr>
              <w:t>на 31 декабря</w:t>
            </w:r>
          </w:p>
        </w:tc>
        <w:tc>
          <w:tcPr>
            <w:tcW w:w="471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2D" w:rsidRPr="00FC4459" w:rsidTr="00E440E7">
        <w:trPr>
          <w:jc w:val="center"/>
        </w:trPr>
        <w:tc>
          <w:tcPr>
            <w:tcW w:w="10910" w:type="dxa"/>
            <w:gridSpan w:val="4"/>
          </w:tcPr>
          <w:p w:rsidR="006A702D" w:rsidRPr="006A702D" w:rsidRDefault="006A702D" w:rsidP="005E48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70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Подраздел 6.2</w:t>
            </w: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BC29F2" w:rsidRPr="00FC4459" w:rsidRDefault="00BC29F2" w:rsidP="00CC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Указаны все имеющиеся на отчетную дату срочные обязательства финансового характера на сумму, равную или превышающую 500 000 руб., кредитором или должником</w:t>
            </w:r>
            <w:r w:rsidR="00BF6200" w:rsidRPr="00FC4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по котор</w:t>
            </w:r>
            <w:r w:rsidR="00CC74E2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является служащий, его супруга (супр</w:t>
            </w:r>
            <w:r w:rsidR="00CC00EB" w:rsidRPr="00FC4459">
              <w:rPr>
                <w:rFonts w:ascii="Times New Roman" w:hAnsi="Times New Roman" w:cs="Times New Roman"/>
                <w:sz w:val="24"/>
                <w:szCs w:val="24"/>
              </w:rPr>
              <w:t>уг), несовершеннолетний ребенок</w:t>
            </w:r>
            <w:r w:rsidR="00BF6200" w:rsidRPr="00FC4459">
              <w:rPr>
                <w:rFonts w:ascii="Times New Roman" w:hAnsi="Times New Roman" w:cs="Times New Roman"/>
                <w:sz w:val="24"/>
                <w:szCs w:val="24"/>
              </w:rPr>
              <w:t>, включая обязательства</w:t>
            </w:r>
            <w:r w:rsidR="00694990" w:rsidRPr="00FC4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200"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пункте 161 Методических рекомендаций</w:t>
            </w:r>
          </w:p>
        </w:tc>
        <w:tc>
          <w:tcPr>
            <w:tcW w:w="471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9F2" w:rsidRPr="00FC4459" w:rsidRDefault="00BC29F2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A" w:rsidRPr="00FC4459" w:rsidTr="00A277C5">
        <w:trPr>
          <w:jc w:val="center"/>
        </w:trPr>
        <w:tc>
          <w:tcPr>
            <w:tcW w:w="10910" w:type="dxa"/>
            <w:gridSpan w:val="4"/>
          </w:tcPr>
          <w:p w:rsidR="00CF43EA" w:rsidRPr="00CF43EA" w:rsidRDefault="00CF43EA" w:rsidP="005E48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43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7</w:t>
            </w:r>
          </w:p>
        </w:tc>
      </w:tr>
      <w:tr w:rsidR="00FC4459" w:rsidRPr="00FC4459" w:rsidTr="00BC29F2">
        <w:trPr>
          <w:jc w:val="center"/>
        </w:trPr>
        <w:tc>
          <w:tcPr>
            <w:tcW w:w="9447" w:type="dxa"/>
          </w:tcPr>
          <w:p w:rsidR="00BF6200" w:rsidRPr="00FC4459" w:rsidRDefault="00BF6200" w:rsidP="00CC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>Указаны сведения об объектах недвижимого имущества, транспортных средствах и ценных бумагах</w:t>
            </w:r>
            <w:r w:rsidR="00694990" w:rsidRPr="00FC4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 отчужденных в течение отчетного периода безвозмездно.</w:t>
            </w:r>
          </w:p>
        </w:tc>
        <w:tc>
          <w:tcPr>
            <w:tcW w:w="471" w:type="dxa"/>
          </w:tcPr>
          <w:p w:rsidR="00BF6200" w:rsidRPr="00FC4459" w:rsidRDefault="00BF6200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200" w:rsidRPr="00FC4459" w:rsidRDefault="00BF6200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200" w:rsidRPr="00FC4459" w:rsidRDefault="00BF6200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A" w:rsidRPr="00FC4459" w:rsidTr="006F332C">
        <w:trPr>
          <w:jc w:val="center"/>
        </w:trPr>
        <w:tc>
          <w:tcPr>
            <w:tcW w:w="10910" w:type="dxa"/>
            <w:gridSpan w:val="4"/>
          </w:tcPr>
          <w:p w:rsidR="00CF43EA" w:rsidRPr="00CF43EA" w:rsidRDefault="00CF43EA" w:rsidP="005E48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43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Дополнительно</w:t>
            </w:r>
          </w:p>
        </w:tc>
      </w:tr>
      <w:tr w:rsidR="00BF6200" w:rsidRPr="00FC4459" w:rsidTr="009966DA">
        <w:trPr>
          <w:trHeight w:val="728"/>
          <w:jc w:val="center"/>
        </w:trPr>
        <w:tc>
          <w:tcPr>
            <w:tcW w:w="9447" w:type="dxa"/>
          </w:tcPr>
          <w:p w:rsidR="00CF43EA" w:rsidRPr="00FC4459" w:rsidRDefault="00BF6200" w:rsidP="00427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Составлено и приложено к справке Уведомление о принадлежащих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</w:t>
            </w:r>
            <w:r w:rsidRPr="009966DA">
              <w:rPr>
                <w:rFonts w:ascii="Times New Roman" w:hAnsi="Times New Roman" w:cs="Times New Roman"/>
                <w:sz w:val="24"/>
                <w:szCs w:val="24"/>
              </w:rPr>
              <w:t xml:space="preserve">наличии) </w:t>
            </w:r>
            <w:r w:rsidR="009966DA" w:rsidRPr="009966DA">
              <w:rPr>
                <w:rFonts w:ascii="Times New Roman" w:hAnsi="Times New Roman" w:cs="Times New Roman"/>
                <w:sz w:val="21"/>
                <w:szCs w:val="28"/>
              </w:rPr>
              <w:t>(В соответствии с Указом Президента Российской Федерации от 10.12.2020 № 778 данные Уведомления обязаны представлять кандидаты, претендующие на должности в Банке России, одновременно со сведениями о доходах, об имуществе и обязательствах имущественного характера)</w:t>
            </w:r>
          </w:p>
        </w:tc>
        <w:tc>
          <w:tcPr>
            <w:tcW w:w="471" w:type="dxa"/>
          </w:tcPr>
          <w:p w:rsidR="00BF6200" w:rsidRPr="00FC4459" w:rsidRDefault="00BF6200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200" w:rsidRPr="00FC4459" w:rsidRDefault="00BF6200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200" w:rsidRPr="00FC4459" w:rsidRDefault="00BF6200" w:rsidP="005E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6ED" w:rsidRPr="00FC4459" w:rsidRDefault="002F36ED" w:rsidP="007D542D"/>
    <w:sectPr w:rsidR="002F36ED" w:rsidRPr="00FC4459" w:rsidSect="009966DA">
      <w:headerReference w:type="default" r:id="rId8"/>
      <w:pgSz w:w="11906" w:h="16838" w:code="9"/>
      <w:pgMar w:top="1021" w:right="567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F0" w:rsidRDefault="003D3EF0">
      <w:pPr>
        <w:spacing w:after="0" w:line="240" w:lineRule="auto"/>
      </w:pPr>
      <w:r>
        <w:separator/>
      </w:r>
    </w:p>
  </w:endnote>
  <w:endnote w:type="continuationSeparator" w:id="0">
    <w:p w:rsidR="003D3EF0" w:rsidRDefault="003D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F0" w:rsidRDefault="003D3EF0">
      <w:pPr>
        <w:spacing w:after="0" w:line="240" w:lineRule="auto"/>
      </w:pPr>
      <w:r>
        <w:separator/>
      </w:r>
    </w:p>
  </w:footnote>
  <w:footnote w:type="continuationSeparator" w:id="0">
    <w:p w:rsidR="003D3EF0" w:rsidRDefault="003D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780642"/>
      <w:docPartObj>
        <w:docPartGallery w:val="Page Numbers (Top of Page)"/>
        <w:docPartUnique/>
      </w:docPartObj>
    </w:sdtPr>
    <w:sdtEndPr/>
    <w:sdtContent>
      <w:p w:rsidR="00CF43EA" w:rsidRDefault="00CC00EB" w:rsidP="00FD1E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3E6">
          <w:rPr>
            <w:noProof/>
          </w:rPr>
          <w:t>3</w:t>
        </w:r>
        <w:r>
          <w:fldChar w:fldCharType="end"/>
        </w:r>
      </w:p>
      <w:p w:rsidR="00355144" w:rsidRDefault="003D3EF0" w:rsidP="00FD1E54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6D23"/>
    <w:multiLevelType w:val="hybridMultilevel"/>
    <w:tmpl w:val="1D6409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70"/>
    <w:rsid w:val="000138F3"/>
    <w:rsid w:val="00024470"/>
    <w:rsid w:val="00036229"/>
    <w:rsid w:val="0008184C"/>
    <w:rsid w:val="000B1C6A"/>
    <w:rsid w:val="000D2C04"/>
    <w:rsid w:val="000F2E00"/>
    <w:rsid w:val="001901C6"/>
    <w:rsid w:val="001A14DD"/>
    <w:rsid w:val="001B6623"/>
    <w:rsid w:val="001C585E"/>
    <w:rsid w:val="001E36BD"/>
    <w:rsid w:val="001F02EB"/>
    <w:rsid w:val="00204E26"/>
    <w:rsid w:val="002272C3"/>
    <w:rsid w:val="00236750"/>
    <w:rsid w:val="002F36ED"/>
    <w:rsid w:val="003403E6"/>
    <w:rsid w:val="003D3EF0"/>
    <w:rsid w:val="004030AC"/>
    <w:rsid w:val="004202D0"/>
    <w:rsid w:val="00427AF8"/>
    <w:rsid w:val="004360BF"/>
    <w:rsid w:val="004543C8"/>
    <w:rsid w:val="004F4E29"/>
    <w:rsid w:val="0054135F"/>
    <w:rsid w:val="00590D2C"/>
    <w:rsid w:val="005C7B4E"/>
    <w:rsid w:val="005E4867"/>
    <w:rsid w:val="005E7A18"/>
    <w:rsid w:val="006118BA"/>
    <w:rsid w:val="00670746"/>
    <w:rsid w:val="00694990"/>
    <w:rsid w:val="006A702D"/>
    <w:rsid w:val="006C124F"/>
    <w:rsid w:val="00706664"/>
    <w:rsid w:val="007B7074"/>
    <w:rsid w:val="007C4687"/>
    <w:rsid w:val="007D542D"/>
    <w:rsid w:val="007F6C9C"/>
    <w:rsid w:val="00816ED3"/>
    <w:rsid w:val="008B0AF0"/>
    <w:rsid w:val="008B5F63"/>
    <w:rsid w:val="009406F8"/>
    <w:rsid w:val="009514F4"/>
    <w:rsid w:val="00982120"/>
    <w:rsid w:val="009966DA"/>
    <w:rsid w:val="009B1BDE"/>
    <w:rsid w:val="00A569CB"/>
    <w:rsid w:val="00AE508E"/>
    <w:rsid w:val="00B1600F"/>
    <w:rsid w:val="00B37D70"/>
    <w:rsid w:val="00B74E63"/>
    <w:rsid w:val="00BA4CA5"/>
    <w:rsid w:val="00BB416F"/>
    <w:rsid w:val="00BC29F2"/>
    <w:rsid w:val="00BD0A95"/>
    <w:rsid w:val="00BD260A"/>
    <w:rsid w:val="00BF3B7C"/>
    <w:rsid w:val="00BF6200"/>
    <w:rsid w:val="00C26DD1"/>
    <w:rsid w:val="00C53625"/>
    <w:rsid w:val="00CC00EB"/>
    <w:rsid w:val="00CC74E2"/>
    <w:rsid w:val="00CD2E6C"/>
    <w:rsid w:val="00CF43EA"/>
    <w:rsid w:val="00DE0D78"/>
    <w:rsid w:val="00E6188C"/>
    <w:rsid w:val="00EA7FCA"/>
    <w:rsid w:val="00ED3B43"/>
    <w:rsid w:val="00ED4359"/>
    <w:rsid w:val="00F12CEB"/>
    <w:rsid w:val="00FB09C0"/>
    <w:rsid w:val="00FC4459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C03DB-5484-4276-B35A-77D8264A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470"/>
    <w:pPr>
      <w:ind w:left="720"/>
      <w:contextualSpacing/>
    </w:pPr>
  </w:style>
  <w:style w:type="character" w:customStyle="1" w:styleId="a5">
    <w:name w:val="Основной текст Знак"/>
    <w:link w:val="a6"/>
    <w:rsid w:val="00024470"/>
    <w:rPr>
      <w:rFonts w:ascii="Calibri" w:hAnsi="Calibri" w:cs="Calibri"/>
      <w:shd w:val="clear" w:color="auto" w:fill="FFFFFF"/>
    </w:rPr>
  </w:style>
  <w:style w:type="paragraph" w:styleId="a6">
    <w:name w:val="Body Text"/>
    <w:basedOn w:val="a"/>
    <w:link w:val="a5"/>
    <w:rsid w:val="0002447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024470"/>
  </w:style>
  <w:style w:type="paragraph" w:styleId="a7">
    <w:name w:val="header"/>
    <w:basedOn w:val="a"/>
    <w:link w:val="a8"/>
    <w:uiPriority w:val="99"/>
    <w:unhideWhenUsed/>
    <w:rsid w:val="000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470"/>
  </w:style>
  <w:style w:type="paragraph" w:styleId="a9">
    <w:name w:val="Balloon Text"/>
    <w:basedOn w:val="a"/>
    <w:link w:val="aa"/>
    <w:uiPriority w:val="99"/>
    <w:semiHidden/>
    <w:unhideWhenUsed/>
    <w:rsid w:val="0040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30A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4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43EA"/>
  </w:style>
  <w:style w:type="paragraph" w:styleId="ad">
    <w:name w:val="footnote text"/>
    <w:basedOn w:val="a"/>
    <w:link w:val="ae"/>
    <w:uiPriority w:val="99"/>
    <w:semiHidden/>
    <w:unhideWhenUsed/>
    <w:rsid w:val="00CF43E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43E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F4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F176-B90D-4745-B401-30C78C5C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 Илья Алексеевич</dc:creator>
  <cp:keywords/>
  <dc:description/>
  <cp:lastModifiedBy>Ишмуратов Роберт Анварович</cp:lastModifiedBy>
  <cp:revision>7</cp:revision>
  <cp:lastPrinted>2020-02-25T06:08:00Z</cp:lastPrinted>
  <dcterms:created xsi:type="dcterms:W3CDTF">2021-02-05T07:48:00Z</dcterms:created>
  <dcterms:modified xsi:type="dcterms:W3CDTF">2021-04-27T06:20:00Z</dcterms:modified>
</cp:coreProperties>
</file>