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BA" w:rsidRDefault="00DC30BA" w:rsidP="00DC30B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DC30BA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DC30BA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28.02.2019</w:t>
      </w:r>
    </w:p>
    <w:p w:rsidR="00DC30BA" w:rsidRPr="00DC30BA" w:rsidRDefault="00DC30BA" w:rsidP="00DC30B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DC30BA" w:rsidRDefault="00DC30BA" w:rsidP="00DC30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C30B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DC30BA" w:rsidRPr="00DC30BA" w:rsidRDefault="00DC30BA" w:rsidP="00DC30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АО «Банк Воронеж»</w:t>
      </w:r>
    </w:p>
    <w:p w:rsidR="00DC30BA" w:rsidRPr="00DC30BA" w:rsidRDefault="00DC30BA" w:rsidP="00DC30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Воронежской области от 6 сентября 2018 г. (дата объявления резолютивной части – 30 августа 2018 г.) по делу № А14-14649/2018 Акционерное общество «Банк Воронеж» (АО «Банк Воронеж», далее – Банк, ОГРН 1023600002084, ИНН 3666007928, адрес регистрации: 394006, г. Воронеж, ул. Челюскинцев, д. 149)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 Адрес для направления почтовой корреспонденции, в том числе требований кредиторов: 127055, г. Москва, ул. Лесная, д. 59, стр. 2.</w:t>
      </w: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Банком назначено на 29 августа 2019 г.</w:t>
      </w: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(далее – Федеральный закон) Агентство публикует сведения о ходе конкурсного производства в отношении Банка. Последняя информация о ходе конкурсного производства размещена на сайте Агентства в сети Интернет и включена в Единый федеральный реестр сведений о банкротстве (далее – ЕФРСБ) 29 сентября 2018 г.</w:t>
      </w: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 30 августа 2018 г. по 31 января 2019 г. списание и реализация имущества Банка не проводились.</w:t>
      </w: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Банком 30 ноября 2018 г. завершена инвентаризация имущества Банка, сведения о результатах которой размещены на сайте Агентства в сети Интернет и включены в ЕФРСБ 5 декабря 2018 г. В ходе инвентаризации выявлено имущество (банковское оборудование, оргтехника, мебель) в количестве 824 единиц, неучтенное на балансовых счетах Банка, из которых по состоянию на отчетную дату 754 единицы отражены на балансовых счетах Банка на общую сумму 3 003 тыс. руб.</w:t>
      </w: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осуществляются мероприятия по взысканию ссудной задолженности с должников Банка в судебном порядке. По состоянию на 1 февраля 2019 г. в суды подано 14 исковых заявлений на общую сумму 1 981 012 тыс. руб., которые находятся на рассмотрении.</w:t>
      </w: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проводится работа по выявлению сделок, отвечающих, в соответствии с законодательством о банкротстве, признакам недействительности. В период действия временной администрации 27 августа 2018 г. в Арбитражный суд Воронежской области подано заявление о признании недействительными договоров купли-продажи акций, нежилых помещений, недвижимости, закладных, а также договоров уступки прав (требований), заключенных между Банком, ООО «Энергоцентр» и физическим лицом, которое находится на рассмотрении.</w:t>
      </w: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отчетную дату в результате судебной работы в конкурсную массу Банка поступили денежные средства в размере 2 247 тыс. руб.</w:t>
      </w: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проводится проверка обстоятельств банкротства Банка, по результатам которой, в случае обнаружения признаков преднамеренного банкротства, будут приняты меры по привлечению к ответственности лиц, виновных в банкротстве Банка.</w:t>
      </w: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13 июля 2018 г. временной администрацией по управлению Банком в СД МВД России направлено заявление о хищении имущества банка в особо крупном размере, злоупотреблении полномочиями руководством Банка, а также о преднамеренном банкротстве. Постановлением СЧ по РОПД ГСУ МВД России по Воронежской области от 3 августа 2018 г. в отношении бывших вице-президента и директора кредитного департамента Банка возбуждено уголовное дело. Постановление о возбуждении уголовного дела отменено постановлением первого заместителя прокурора Воронежской области от 6 августа 2018 г. Материал возвращен для производства дополнительной проверки.</w:t>
      </w: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октября 2018 г. по результатам дополнительной проверки вновь вынесено постановление об отказе в возбуждении уголовного дела, которое отменено 8 октября 2018 г. руководителем следственного органа – начальником отдела СЧ по РОПД ГСУ ГУ МВД России по Воронежской области.</w:t>
      </w: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 октября 2018 г. заместителем начальника СЧ по РОПД ГСУ ГУ МВД России по Воронежской области возбуждено уголовное дело в отношении неустановленных лиц по признакам преступления, предусмотренного ст. 196 УК РФ. 18 октября 2018 г. постановлением заместителя прокурора Воронежской области решение о возбуждении уголовного дела отменено, материал возвращен в СЧ по РОПД ГСУ ГУ МВД России по Воронежской области для проведения дополнительной проверки.</w:t>
      </w: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 октября 2018 г. заместителем начальника отдела СЧ по РОПД ГСУ ГУ МВД России по Воронежской области возбуждено уголовное дело в отношении неустановленных лиц по признакам преступления, предусмотренного ч. 4 ст. 159 УК РФ.</w:t>
      </w: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 сентября 2018 г. Банком России в СД МВД России и СК России направлены заявления в отношении бывших руководителей Банка, которые в период с декабря 2017 г. по март 2018 г. совершили действия по выводу и замене ликвидных активов, приобретенных по поручению Банка АО Финанс-Инвест, на активы низкого качества. Заявления приобщено к материалам по вышеуказанному заявлению временной администрации по управлению Банком.</w:t>
      </w: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ст. 189.75 Федерального закона Агентство публикует сведения об исполнении сметы текущих расходов и стоимости нереализованного имущества Банка.</w:t>
      </w:r>
    </w:p>
    <w:p w:rsidR="00DC30BA" w:rsidRDefault="00DC30BA" w:rsidP="00DC3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C30BA" w:rsidRDefault="00DC30BA" w:rsidP="00DC3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стоимости нереализованного имущества Банка </w:t>
      </w:r>
    </w:p>
    <w:p w:rsidR="00DC30BA" w:rsidRPr="00DC30BA" w:rsidRDefault="00DC30BA" w:rsidP="00DC30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состоянию на 1 февраля 2019 г. </w:t>
      </w:r>
    </w:p>
    <w:p w:rsidR="00DC30BA" w:rsidRPr="00DC30BA" w:rsidRDefault="00DC30BA" w:rsidP="00DC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lang w:eastAsia="ru-RU"/>
        </w:rPr>
        <w:t>(тыс. руб.)</w:t>
      </w:r>
      <w:r w:rsidRPr="00DC30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5262"/>
        <w:gridCol w:w="1806"/>
        <w:gridCol w:w="1806"/>
      </w:tblGrid>
      <w:tr w:rsidR="00DC30BA" w:rsidRPr="00DC30BA" w:rsidTr="00DC30BA">
        <w:trPr>
          <w:tblCellSpacing w:w="20" w:type="dxa"/>
        </w:trPr>
        <w:tc>
          <w:tcPr>
            <w:tcW w:w="35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7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9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стоимость</w:t>
            </w:r>
          </w:p>
        </w:tc>
        <w:tc>
          <w:tcPr>
            <w:tcW w:w="90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Оценочная стоимость</w:t>
            </w:r>
          </w:p>
        </w:tc>
      </w:tr>
      <w:tr w:rsidR="00DC30BA" w:rsidRPr="00DC30BA" w:rsidTr="00DC30BA">
        <w:trPr>
          <w:tblCellSpacing w:w="20" w:type="dxa"/>
        </w:trPr>
        <w:tc>
          <w:tcPr>
            <w:tcW w:w="35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Ценные бумаги</w:t>
            </w:r>
          </w:p>
        </w:tc>
        <w:tc>
          <w:tcPr>
            <w:tcW w:w="9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4 312 413</w:t>
            </w:r>
          </w:p>
        </w:tc>
        <w:tc>
          <w:tcPr>
            <w:tcW w:w="908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оценки</w:t>
            </w:r>
          </w:p>
        </w:tc>
      </w:tr>
      <w:tr w:rsidR="00DC30BA" w:rsidRPr="00DC30BA" w:rsidTr="00DC30BA">
        <w:trPr>
          <w:tblCellSpacing w:w="20" w:type="dxa"/>
        </w:trPr>
        <w:tc>
          <w:tcPr>
            <w:tcW w:w="35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предприятиям и организациям</w:t>
            </w:r>
          </w:p>
        </w:tc>
        <w:tc>
          <w:tcPr>
            <w:tcW w:w="9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2 626 381</w:t>
            </w:r>
          </w:p>
        </w:tc>
        <w:tc>
          <w:tcPr>
            <w:tcW w:w="908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30BA" w:rsidRPr="00DC30BA" w:rsidTr="00DC30BA">
        <w:trPr>
          <w:tblCellSpacing w:w="20" w:type="dxa"/>
        </w:trPr>
        <w:tc>
          <w:tcPr>
            <w:tcW w:w="35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физическим лицам</w:t>
            </w:r>
          </w:p>
        </w:tc>
        <w:tc>
          <w:tcPr>
            <w:tcW w:w="9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163 718</w:t>
            </w:r>
          </w:p>
        </w:tc>
        <w:tc>
          <w:tcPr>
            <w:tcW w:w="908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30BA" w:rsidRPr="00DC30BA" w:rsidTr="00DC30BA">
        <w:trPr>
          <w:tblCellSpacing w:w="20" w:type="dxa"/>
        </w:trPr>
        <w:tc>
          <w:tcPr>
            <w:tcW w:w="35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и хозяйственные затраты (за исключением амортизации)</w:t>
            </w:r>
          </w:p>
        </w:tc>
        <w:tc>
          <w:tcPr>
            <w:tcW w:w="9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139 348</w:t>
            </w:r>
          </w:p>
        </w:tc>
        <w:tc>
          <w:tcPr>
            <w:tcW w:w="908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30BA" w:rsidRPr="00DC30BA" w:rsidTr="00DC30BA">
        <w:trPr>
          <w:tblCellSpacing w:w="20" w:type="dxa"/>
        </w:trPr>
        <w:tc>
          <w:tcPr>
            <w:tcW w:w="35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активы</w:t>
            </w:r>
          </w:p>
        </w:tc>
        <w:tc>
          <w:tcPr>
            <w:tcW w:w="9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1 067 599</w:t>
            </w:r>
          </w:p>
        </w:tc>
        <w:tc>
          <w:tcPr>
            <w:tcW w:w="908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30BA" w:rsidRPr="00DC30BA" w:rsidTr="00DC30BA">
        <w:trPr>
          <w:tblCellSpacing w:w="20" w:type="dxa"/>
        </w:trPr>
        <w:tc>
          <w:tcPr>
            <w:tcW w:w="35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8 309 459</w:t>
            </w:r>
          </w:p>
        </w:tc>
        <w:tc>
          <w:tcPr>
            <w:tcW w:w="90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C30BA" w:rsidRDefault="00DC30BA" w:rsidP="00DC3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Отчет об исполнении сметы текущих расходов (затрат) на проведение мероприятий конкурсного производства в отношении Банка </w:t>
      </w:r>
    </w:p>
    <w:p w:rsidR="00DC30BA" w:rsidRPr="00DC30BA" w:rsidRDefault="00DC30BA" w:rsidP="00DC30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30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 период с 30 августа 2018 г. по 31 января 2019 г.</w:t>
      </w:r>
    </w:p>
    <w:p w:rsidR="00DC30BA" w:rsidRPr="00DC30BA" w:rsidRDefault="00DC30BA" w:rsidP="00DC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lang w:eastAsia="ru-RU"/>
        </w:rPr>
        <w:t>(тыс. руб.)</w:t>
      </w:r>
      <w:r w:rsidRPr="00DC30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4880"/>
        <w:gridCol w:w="1060"/>
        <w:gridCol w:w="1060"/>
        <w:gridCol w:w="1918"/>
      </w:tblGrid>
      <w:tr w:rsidR="00DC30BA" w:rsidRPr="00DC30BA" w:rsidTr="00DC30BA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51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расходов и затрат</w:t>
            </w:r>
          </w:p>
        </w:tc>
        <w:tc>
          <w:tcPr>
            <w:tcW w:w="5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5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96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Экономия (+)/ перерасход (-)</w:t>
            </w:r>
          </w:p>
        </w:tc>
      </w:tr>
      <w:tr w:rsidR="00DC30BA" w:rsidRPr="00DC30BA" w:rsidTr="00DC30BA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Административно-хозяйственные расходы</w:t>
            </w:r>
          </w:p>
        </w:tc>
        <w:tc>
          <w:tcPr>
            <w:tcW w:w="5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41 411</w:t>
            </w:r>
          </w:p>
        </w:tc>
        <w:tc>
          <w:tcPr>
            <w:tcW w:w="5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25 333</w:t>
            </w:r>
          </w:p>
        </w:tc>
        <w:tc>
          <w:tcPr>
            <w:tcW w:w="96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+16 078</w:t>
            </w:r>
          </w:p>
        </w:tc>
      </w:tr>
      <w:tr w:rsidR="00DC30BA" w:rsidRPr="00DC30BA" w:rsidTr="00DC30BA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аппарата</w:t>
            </w:r>
          </w:p>
        </w:tc>
        <w:tc>
          <w:tcPr>
            <w:tcW w:w="5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133 102</w:t>
            </w:r>
          </w:p>
        </w:tc>
        <w:tc>
          <w:tcPr>
            <w:tcW w:w="5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60 114</w:t>
            </w:r>
          </w:p>
        </w:tc>
        <w:tc>
          <w:tcPr>
            <w:tcW w:w="96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+72 988</w:t>
            </w:r>
          </w:p>
        </w:tc>
      </w:tr>
      <w:tr w:rsidR="00DC30BA" w:rsidRPr="00DC30BA" w:rsidTr="00DC30BA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174 513</w:t>
            </w:r>
          </w:p>
        </w:tc>
        <w:tc>
          <w:tcPr>
            <w:tcW w:w="5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85 447</w:t>
            </w:r>
          </w:p>
        </w:tc>
        <w:tc>
          <w:tcPr>
            <w:tcW w:w="96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0BA" w:rsidRPr="00DC30BA" w:rsidRDefault="00DC30BA" w:rsidP="00DC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+89 066*</w:t>
            </w:r>
          </w:p>
        </w:tc>
      </w:tr>
    </w:tbl>
    <w:p w:rsidR="00DC30BA" w:rsidRPr="00DC30BA" w:rsidRDefault="00DC30BA" w:rsidP="00DC3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lang w:eastAsia="ru-RU"/>
        </w:rPr>
        <w:t>Примечание: сведения представляются нарастающим итогом с даты открытия конкурсного производства по отчетную дату.</w:t>
      </w:r>
    </w:p>
    <w:p w:rsidR="00DC30BA" w:rsidRPr="00DC30BA" w:rsidRDefault="00DC30BA" w:rsidP="00DC3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30BA">
        <w:rPr>
          <w:rFonts w:ascii="Times New Roman" w:eastAsia="Times New Roman" w:hAnsi="Times New Roman" w:cs="Times New Roman"/>
          <w:color w:val="000000"/>
          <w:lang w:eastAsia="ru-RU"/>
        </w:rPr>
        <w:t>* Экономия обусловлена переносом планируемых расходов, непроизведенных в период действия смет, в сметы следующего квартала, по причине несвоевременного предоставления контрагентами первичных документов, подтверждающих факт оказания услуг и несвоевременного обращения уволенных работников за пособиями, предусмотренными законодательством.</w:t>
      </w:r>
    </w:p>
    <w:p w:rsidR="00EF235A" w:rsidRPr="00DC30BA" w:rsidRDefault="00EF235A" w:rsidP="00DC30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F235A" w:rsidRPr="00DC30BA" w:rsidSect="00DC30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BA"/>
    <w:rsid w:val="00DC30BA"/>
    <w:rsid w:val="00E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0BA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DC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DC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0BA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DC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DC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9206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674802330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2019-03-04T06:52:00Z</dcterms:created>
  <dcterms:modified xsi:type="dcterms:W3CDTF">2019-03-04T06:56:00Z</dcterms:modified>
</cp:coreProperties>
</file>