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053B6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053B68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26.02.2019</w:t>
      </w:r>
    </w:p>
    <w:p w:rsidR="00053B68" w:rsidRP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053B68" w:rsidRDefault="00053B68" w:rsidP="00053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053B68" w:rsidRPr="00053B68" w:rsidRDefault="00053B68" w:rsidP="00053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«О.К. Банк»</w:t>
      </w:r>
    </w:p>
    <w:p w:rsidR="00053B68" w:rsidRPr="00053B68" w:rsidRDefault="00053B68" w:rsidP="00053B6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Ярославской области от 5 сентября 2018 г. (дата объявления резолютивной части 29 августа 2018 года) по делу № А82-11583/2018 Публичное акционерное общество «Объединенный кредитный банк» (ПАО «О.К. Банк»), далее – Банк, ОГРН 10252500000330, ИНН 5249046404, адрес регистрации: 150040, Ярославская обл., г. Ярославль, ул. Чайковского, д. 62/30, признано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29 августа 2019 г.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размещена 28 сентября 2018 г. на сайте Агентства в сети Интернет и включена в Единый федеральный реестр сведений о банкротстве (далее – ЕФРСБ).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21 декабря 2018 г. по 12 марта 2019 г. конкурсным управляющим проводятся расчеты с кредиторами первой очереди, чьи требования включены в реестр требований кредиторов Банка, в размере 6,85 % суммы установленных требований. По состоянию на 1 февраля 2019 г. на расчеты с кредиторами направлены денежные средства в размере 387 423 тыс. руб.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29 августа 2018 г. по 31 января 2019 г. новое имущество Банка не выявлено, реализация и списание имущества не проводились.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29 ноября 2018 г. завершена инвентаризация имущества Банка, проведенная по состоянию на дату открытия процедуры конкурсного производства (29 августа 2018 г.), итоги которой размещены на сайте Агентства в сети Интернет и включены в ЕФРСБ 4 декабря 2018 г. По результатам инвентаризации выявлена недостача имущества Банка на сумму 780 451 тыс. руб.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инвентаризации выявлено неучтенное на балансовых счетах Банка имущество (мебель, банковская техника и оргтехника, бытовая техника) в количестве 1 953 единиц.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организована работа по взысканию ссудной задолженности в судебном порядке. По состоянию на 1 февраля 2019 г. в суды подано 33 исковых заявления о взыскании ссудной задолженности на общую сумму 1 502 138 тыс. руб., из которых в полном объеме удовлетворено 9 исковых заявлений на общую сумму 243 657 тыс. руб., частично удовлетворено 3 исковых заявления на общую сумму 212 924 тыс. руб. Отказано в удовлетворении 1 искового заявления на сумму 179 119 тыс. руб. На основании вступивших в законную силу судебных актов возбуждено 9 исполнительных производств на общую сумму 75 303 тыс. руб.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проведения исковой работы в конкурсную массу поступили денежные средства в размере 33 тыс. руб.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целью выявления сомнительных сделок, совершенных Банком в преддверии банкротства, конкурсным управляющим проводится анализ заключенных Банком договоров банковского счета, депозитных, кредитных договоров и договоров купли-продажи на предмет их соответствия требованиям закона, а также коммерческой целесообразности.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Временной администрацией по управлению Банком в СД МВД России направлено заявление по ст.ст. 158, 159, 160, 201 УК РФ по фактам хищения имущества Банка под видом совершения сделок с ценными бумагами, сделок цессий, выдачи наличных денежных средств из кассы Банка, хищения кредитных досье и 2 компьютеров. По результатам рассмотрения заявления неоднократно принимались решения об отказе в возбуждении уголовного дела, которые отменялись руководителем следственного органа.</w:t>
      </w:r>
    </w:p>
    <w:p w:rsid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Агентство публикует сведения о стоимости нереализованного имущества Банка и отчет об исполнении сметы текущих расходов.</w:t>
      </w:r>
    </w:p>
    <w:p w:rsidR="00053B68" w:rsidRPr="00053B68" w:rsidRDefault="00053B68" w:rsidP="00053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стоимости нереализованного имущества Банка </w:t>
      </w:r>
    </w:p>
    <w:p w:rsidR="00053B68" w:rsidRP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состоянию на 1 февраля 2019 г.</w:t>
      </w:r>
    </w:p>
    <w:p w:rsidR="00053B68" w:rsidRPr="00053B68" w:rsidRDefault="00053B68" w:rsidP="00053B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10"/>
        <w:gridCol w:w="1996"/>
        <w:gridCol w:w="1999"/>
      </w:tblGrid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1 508 150*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1 032 286**</w:t>
            </w:r>
          </w:p>
        </w:tc>
        <w:tc>
          <w:tcPr>
            <w:tcW w:w="0" w:type="auto"/>
            <w:vMerge/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Учтенные векселя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8 666 867</w:t>
            </w:r>
          </w:p>
        </w:tc>
        <w:tc>
          <w:tcPr>
            <w:tcW w:w="0" w:type="auto"/>
            <w:vMerge/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 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41 207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63 912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 проводилась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11 285 023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53B68" w:rsidRP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lang w:eastAsia="ru-RU"/>
        </w:rPr>
        <w:t>*в т.ч. банковские гарантии балансовой стоимостью 63 366 тыс. руб.</w:t>
      </w:r>
    </w:p>
    <w:p w:rsidR="00053B68" w:rsidRP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lang w:eastAsia="ru-RU"/>
        </w:rPr>
        <w:t>**в т.ч. договор цессии с физическим лицом балансовой стоимостью 5 732 тыс. руб.</w:t>
      </w:r>
    </w:p>
    <w:p w:rsid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расходов (затрат) на проведение </w:t>
      </w:r>
    </w:p>
    <w:p w:rsid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конкурсного производства в отношении Банка </w:t>
      </w:r>
    </w:p>
    <w:p w:rsidR="00053B68" w:rsidRDefault="00053B68" w:rsidP="0005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 период с 29 августа 2018 г. по 31 января 2019 г. </w:t>
      </w:r>
    </w:p>
    <w:p w:rsidR="00053B68" w:rsidRPr="00053B68" w:rsidRDefault="00053B68" w:rsidP="00053B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4424"/>
        <w:gridCol w:w="1174"/>
        <w:gridCol w:w="1174"/>
        <w:gridCol w:w="2145"/>
      </w:tblGrid>
      <w:tr w:rsidR="00053B68" w:rsidRPr="00053B68" w:rsidTr="00053B68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0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 / перерасход (-)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затраты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31 250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17 608</w:t>
            </w:r>
          </w:p>
        </w:tc>
        <w:tc>
          <w:tcPr>
            <w:tcW w:w="10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+ 13 642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66 414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50 914</w:t>
            </w:r>
          </w:p>
        </w:tc>
        <w:tc>
          <w:tcPr>
            <w:tcW w:w="10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+ 15 500</w:t>
            </w:r>
          </w:p>
        </w:tc>
      </w:tr>
      <w:tr w:rsidR="00053B68" w:rsidRPr="00053B68" w:rsidTr="00053B68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97 664</w:t>
            </w:r>
          </w:p>
        </w:tc>
        <w:tc>
          <w:tcPr>
            <w:tcW w:w="59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68 522</w:t>
            </w:r>
          </w:p>
        </w:tc>
        <w:tc>
          <w:tcPr>
            <w:tcW w:w="108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B68" w:rsidRPr="00053B68" w:rsidRDefault="00053B68" w:rsidP="00053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B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+ 29 142*</w:t>
            </w:r>
          </w:p>
        </w:tc>
      </w:tr>
    </w:tbl>
    <w:p w:rsidR="00053B68" w:rsidRP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представляются нарастающим итогом с даты начала конкурсного производства по отчетную дату.</w:t>
      </w:r>
    </w:p>
    <w:p w:rsidR="00053B68" w:rsidRPr="00053B68" w:rsidRDefault="00053B68" w:rsidP="00053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53B68">
        <w:rPr>
          <w:rFonts w:ascii="Times New Roman" w:eastAsia="Times New Roman" w:hAnsi="Times New Roman" w:cs="Times New Roman"/>
          <w:color w:val="000000"/>
          <w:lang w:eastAsia="ru-RU"/>
        </w:rPr>
        <w:t xml:space="preserve">* Экономия обусловлена переносом планируемых расходов, непроизведенных в период действия смет, в сметы следующего квартала, по причине несвоевременного предоставления контрагентами </w:t>
      </w:r>
      <w:r w:rsidRPr="00053B6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первичных документов, 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5F01C5" w:rsidRPr="00053B68" w:rsidRDefault="005F01C5" w:rsidP="00053B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F01C5" w:rsidRPr="00053B68" w:rsidSect="00053B6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06" w:rsidRDefault="00AA3B06" w:rsidP="00053B68">
      <w:pPr>
        <w:spacing w:after="0" w:line="240" w:lineRule="auto"/>
      </w:pPr>
      <w:r>
        <w:separator/>
      </w:r>
    </w:p>
  </w:endnote>
  <w:endnote w:type="continuationSeparator" w:id="0">
    <w:p w:rsidR="00AA3B06" w:rsidRDefault="00AA3B06" w:rsidP="0005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420995"/>
      <w:docPartObj>
        <w:docPartGallery w:val="Page Numbers (Bottom of Page)"/>
        <w:docPartUnique/>
      </w:docPartObj>
    </w:sdtPr>
    <w:sdtContent>
      <w:p w:rsidR="00053B68" w:rsidRDefault="00053B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3B68" w:rsidRDefault="00053B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06" w:rsidRDefault="00AA3B06" w:rsidP="00053B68">
      <w:pPr>
        <w:spacing w:after="0" w:line="240" w:lineRule="auto"/>
      </w:pPr>
      <w:r>
        <w:separator/>
      </w:r>
    </w:p>
  </w:footnote>
  <w:footnote w:type="continuationSeparator" w:id="0">
    <w:p w:rsidR="00AA3B06" w:rsidRDefault="00AA3B06" w:rsidP="00053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68"/>
    <w:rsid w:val="00053B68"/>
    <w:rsid w:val="005F01C5"/>
    <w:rsid w:val="00AA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B6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0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B68"/>
  </w:style>
  <w:style w:type="paragraph" w:styleId="a6">
    <w:name w:val="footer"/>
    <w:basedOn w:val="a"/>
    <w:link w:val="a7"/>
    <w:uiPriority w:val="99"/>
    <w:unhideWhenUsed/>
    <w:rsid w:val="0005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B68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0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0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5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3B68"/>
  </w:style>
  <w:style w:type="paragraph" w:styleId="a6">
    <w:name w:val="footer"/>
    <w:basedOn w:val="a"/>
    <w:link w:val="a7"/>
    <w:uiPriority w:val="99"/>
    <w:unhideWhenUsed/>
    <w:rsid w:val="0005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38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0572735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2019-03-01T10:15:00Z</dcterms:created>
  <dcterms:modified xsi:type="dcterms:W3CDTF">2019-03-01T10:18:00Z</dcterms:modified>
</cp:coreProperties>
</file>