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56" w:rsidRPr="00F23256" w:rsidRDefault="00F23256" w:rsidP="00F23256">
      <w:pPr>
        <w:spacing w:after="0" w:line="240" w:lineRule="auto"/>
        <w:jc w:val="both"/>
        <w:rPr>
          <w:rFonts w:ascii="Times New Roman" w:eastAsia="Times New Roman" w:hAnsi="Times New Roman" w:cs="Times New Roman"/>
          <w:b/>
          <w:color w:val="0070C0"/>
          <w:sz w:val="16"/>
          <w:szCs w:val="16"/>
          <w:lang w:eastAsia="ru-RU"/>
        </w:rPr>
      </w:pPr>
      <w:bookmarkStart w:id="0" w:name="_GoBack"/>
      <w:bookmarkEnd w:id="0"/>
      <w:r w:rsidRPr="00F23256">
        <w:rPr>
          <w:rFonts w:ascii="Times New Roman" w:eastAsia="Times New Roman" w:hAnsi="Times New Roman" w:cs="Times New Roman"/>
          <w:b/>
          <w:color w:val="0070C0"/>
          <w:sz w:val="16"/>
          <w:szCs w:val="16"/>
          <w:lang w:eastAsia="ru-RU"/>
        </w:rPr>
        <w:t xml:space="preserve">Опубликовано на сайте ГК «АСВ» </w:t>
      </w:r>
      <w:r w:rsidRPr="00F23256">
        <w:rPr>
          <w:rFonts w:ascii="Times New Roman" w:eastAsia="Times New Roman" w:hAnsi="Times New Roman" w:cs="Times New Roman"/>
          <w:b/>
          <w:color w:val="0070C0"/>
          <w:sz w:val="16"/>
          <w:szCs w:val="16"/>
          <w:lang w:eastAsia="ru-RU"/>
        </w:rPr>
        <w:t>16.01.2019</w:t>
      </w:r>
    </w:p>
    <w:p w:rsidR="00F23256" w:rsidRPr="00F23256" w:rsidRDefault="00F23256" w:rsidP="00F23256">
      <w:pPr>
        <w:spacing w:after="0" w:line="240" w:lineRule="auto"/>
        <w:jc w:val="both"/>
        <w:rPr>
          <w:rFonts w:ascii="Times New Roman" w:eastAsia="Times New Roman" w:hAnsi="Times New Roman" w:cs="Times New Roman"/>
          <w:color w:val="666666"/>
          <w:sz w:val="26"/>
          <w:szCs w:val="26"/>
          <w:lang w:eastAsia="ru-RU"/>
        </w:rPr>
      </w:pPr>
    </w:p>
    <w:p w:rsidR="00F23256" w:rsidRDefault="00F23256" w:rsidP="00F23256">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F23256">
        <w:rPr>
          <w:rFonts w:ascii="Times New Roman" w:eastAsia="Times New Roman" w:hAnsi="Times New Roman" w:cs="Times New Roman"/>
          <w:b/>
          <w:bCs/>
          <w:color w:val="000000"/>
          <w:kern w:val="36"/>
          <w:sz w:val="28"/>
          <w:szCs w:val="28"/>
          <w:lang w:eastAsia="ru-RU"/>
        </w:rPr>
        <w:t xml:space="preserve">Сведения о ходе конкурсного производства в отношении </w:t>
      </w:r>
    </w:p>
    <w:p w:rsidR="00F23256" w:rsidRPr="00F23256" w:rsidRDefault="00F23256" w:rsidP="00F23256">
      <w:pPr>
        <w:spacing w:after="0" w:line="240" w:lineRule="auto"/>
        <w:jc w:val="center"/>
        <w:outlineLvl w:val="0"/>
        <w:rPr>
          <w:rFonts w:ascii="Times New Roman" w:eastAsia="Times New Roman" w:hAnsi="Times New Roman" w:cs="Times New Roman"/>
          <w:b/>
          <w:color w:val="000000"/>
          <w:sz w:val="28"/>
          <w:szCs w:val="28"/>
          <w:lang w:eastAsia="ru-RU"/>
        </w:rPr>
      </w:pPr>
      <w:r w:rsidRPr="00F23256">
        <w:rPr>
          <w:rFonts w:ascii="Times New Roman" w:eastAsia="Times New Roman" w:hAnsi="Times New Roman" w:cs="Times New Roman"/>
          <w:b/>
          <w:color w:val="000000"/>
          <w:sz w:val="28"/>
          <w:szCs w:val="28"/>
          <w:lang w:eastAsia="ru-RU"/>
        </w:rPr>
        <w:t>ООО КБ «Конфидэнс Банк»</w:t>
      </w:r>
    </w:p>
    <w:p w:rsidR="00F23256" w:rsidRPr="00F23256" w:rsidRDefault="00F23256" w:rsidP="00F23256">
      <w:pPr>
        <w:spacing w:after="0" w:line="240" w:lineRule="auto"/>
        <w:outlineLvl w:val="0"/>
        <w:rPr>
          <w:rFonts w:ascii="Times New Roman" w:eastAsia="Times New Roman" w:hAnsi="Times New Roman" w:cs="Times New Roman"/>
          <w:b/>
          <w:bCs/>
          <w:color w:val="000000"/>
          <w:kern w:val="36"/>
          <w:sz w:val="26"/>
          <w:szCs w:val="26"/>
          <w:lang w:eastAsia="ru-RU"/>
        </w:rPr>
      </w:pPr>
    </w:p>
    <w:p w:rsidR="00F23256" w:rsidRPr="00F23256" w:rsidRDefault="00F23256" w:rsidP="00F23256">
      <w:pPr>
        <w:spacing w:after="0" w:line="240" w:lineRule="auto"/>
        <w:ind w:firstLine="709"/>
        <w:jc w:val="both"/>
        <w:rPr>
          <w:rFonts w:ascii="Times New Roman" w:eastAsia="Times New Roman" w:hAnsi="Times New Roman" w:cs="Times New Roman"/>
          <w:color w:val="000000"/>
          <w:sz w:val="26"/>
          <w:szCs w:val="26"/>
          <w:lang w:eastAsia="ru-RU"/>
        </w:rPr>
      </w:pPr>
      <w:r w:rsidRPr="00F23256">
        <w:rPr>
          <w:rFonts w:ascii="Times New Roman" w:eastAsia="Times New Roman" w:hAnsi="Times New Roman" w:cs="Times New Roman"/>
          <w:color w:val="000000"/>
          <w:sz w:val="26"/>
          <w:szCs w:val="26"/>
          <w:lang w:eastAsia="ru-RU"/>
        </w:rPr>
        <w:t>Решением Арбитражного суда Костромской области от 20 июля 2018 года (дата объявления резолютивной части – 13 июля 2018 года) по делу № А31-5798/2018 Общество с ограниченной ответственностью Коммерческий Банк «Конфидэнс Банк» (ООО КБ «Конфидэнс Банк»), далее – Банк, ОГРН 1024400003209, ИНН 4405001070, адрес регистрации: 156000, г. Кострома, пр. Мира, д. 113, признано несостоятельным (банкротом) и в отношении него открыто конкурсное производство сроком на один год. Функции конкурсного управляющего возложены на государственную корпорацию «Агентство по страхованию вкладов» (далее – Агентство).</w:t>
      </w:r>
    </w:p>
    <w:p w:rsidR="00F23256" w:rsidRPr="00F23256" w:rsidRDefault="00F23256" w:rsidP="00F23256">
      <w:pPr>
        <w:spacing w:after="0" w:line="240" w:lineRule="auto"/>
        <w:ind w:firstLine="709"/>
        <w:jc w:val="both"/>
        <w:rPr>
          <w:rFonts w:ascii="Times New Roman" w:eastAsia="Times New Roman" w:hAnsi="Times New Roman" w:cs="Times New Roman"/>
          <w:color w:val="000000"/>
          <w:sz w:val="26"/>
          <w:szCs w:val="26"/>
          <w:lang w:eastAsia="ru-RU"/>
        </w:rPr>
      </w:pPr>
      <w:r w:rsidRPr="00F23256">
        <w:rPr>
          <w:rFonts w:ascii="Times New Roman" w:eastAsia="Times New Roman" w:hAnsi="Times New Roman" w:cs="Times New Roman"/>
          <w:color w:val="000000"/>
          <w:sz w:val="26"/>
          <w:szCs w:val="26"/>
          <w:lang w:eastAsia="ru-RU"/>
        </w:rPr>
        <w:t>Судебное заседание по рассмотрению отчета конкурсного управляющего назначено на 15 июля 2019 года.</w:t>
      </w:r>
    </w:p>
    <w:p w:rsidR="00F23256" w:rsidRPr="00F23256" w:rsidRDefault="00F23256" w:rsidP="00F23256">
      <w:pPr>
        <w:spacing w:after="0" w:line="240" w:lineRule="auto"/>
        <w:ind w:firstLine="709"/>
        <w:jc w:val="both"/>
        <w:rPr>
          <w:rFonts w:ascii="Times New Roman" w:eastAsia="Times New Roman" w:hAnsi="Times New Roman" w:cs="Times New Roman"/>
          <w:color w:val="000000"/>
          <w:sz w:val="26"/>
          <w:szCs w:val="26"/>
          <w:lang w:eastAsia="ru-RU"/>
        </w:rPr>
      </w:pPr>
      <w:r w:rsidRPr="00F23256">
        <w:rPr>
          <w:rFonts w:ascii="Times New Roman" w:eastAsia="Times New Roman" w:hAnsi="Times New Roman" w:cs="Times New Roman"/>
          <w:color w:val="000000"/>
          <w:sz w:val="26"/>
          <w:szCs w:val="26"/>
          <w:lang w:eastAsia="ru-RU"/>
        </w:rPr>
        <w:t>Адрес для направления почтовой корреспонденции, в том числе требований кредиторов: 127055, г. Москва, ул. Лесная, д. 59, стр. 2.</w:t>
      </w:r>
    </w:p>
    <w:p w:rsidR="00F23256" w:rsidRPr="00F23256" w:rsidRDefault="00F23256" w:rsidP="00F23256">
      <w:pPr>
        <w:spacing w:after="0" w:line="240" w:lineRule="auto"/>
        <w:ind w:firstLine="709"/>
        <w:jc w:val="both"/>
        <w:rPr>
          <w:rFonts w:ascii="Times New Roman" w:eastAsia="Times New Roman" w:hAnsi="Times New Roman" w:cs="Times New Roman"/>
          <w:color w:val="000000"/>
          <w:sz w:val="26"/>
          <w:szCs w:val="26"/>
          <w:lang w:eastAsia="ru-RU"/>
        </w:rPr>
      </w:pPr>
      <w:r w:rsidRPr="00F23256">
        <w:rPr>
          <w:rFonts w:ascii="Times New Roman" w:eastAsia="Times New Roman" w:hAnsi="Times New Roman" w:cs="Times New Roman"/>
          <w:color w:val="000000"/>
          <w:sz w:val="26"/>
          <w:szCs w:val="26"/>
          <w:lang w:eastAsia="ru-RU"/>
        </w:rPr>
        <w:t>В соответствии с требованиями Федерального закона от 26 октября 2002 года № 127-ФЗ «О несостоятельности (банкротстве)» (далее – Федеральный закон) Агентство публикует сведения о ходе конкурсного производства Банка. Последняя информация о ходе конкурсного производства включена 12 августа 2018 года в Единый федеральный реестр сведений о банкротстве (далее – ЕФРСБ) и размещена на сайте Агентства в сети Интернет.</w:t>
      </w:r>
    </w:p>
    <w:p w:rsidR="00F23256" w:rsidRPr="00F23256" w:rsidRDefault="00F23256" w:rsidP="00F23256">
      <w:pPr>
        <w:spacing w:after="0" w:line="240" w:lineRule="auto"/>
        <w:ind w:firstLine="709"/>
        <w:jc w:val="both"/>
        <w:rPr>
          <w:rFonts w:ascii="Times New Roman" w:eastAsia="Times New Roman" w:hAnsi="Times New Roman" w:cs="Times New Roman"/>
          <w:color w:val="000000"/>
          <w:sz w:val="26"/>
          <w:szCs w:val="26"/>
          <w:lang w:eastAsia="ru-RU"/>
        </w:rPr>
      </w:pPr>
      <w:r w:rsidRPr="00F23256">
        <w:rPr>
          <w:rFonts w:ascii="Times New Roman" w:eastAsia="Times New Roman" w:hAnsi="Times New Roman" w:cs="Times New Roman"/>
          <w:color w:val="000000"/>
          <w:sz w:val="26"/>
          <w:szCs w:val="26"/>
          <w:lang w:eastAsia="ru-RU"/>
        </w:rPr>
        <w:t>В период с 13 июля по 30 ноября 2018 г. реализация и списание имущества Банка не проводились.</w:t>
      </w:r>
    </w:p>
    <w:p w:rsidR="00F23256" w:rsidRPr="00F23256" w:rsidRDefault="00F23256" w:rsidP="00F23256">
      <w:pPr>
        <w:spacing w:after="0" w:line="240" w:lineRule="auto"/>
        <w:ind w:firstLine="709"/>
        <w:jc w:val="both"/>
        <w:rPr>
          <w:rFonts w:ascii="Times New Roman" w:eastAsia="Times New Roman" w:hAnsi="Times New Roman" w:cs="Times New Roman"/>
          <w:color w:val="000000"/>
          <w:sz w:val="26"/>
          <w:szCs w:val="26"/>
          <w:lang w:eastAsia="ru-RU"/>
        </w:rPr>
      </w:pPr>
      <w:r w:rsidRPr="00F23256">
        <w:rPr>
          <w:rFonts w:ascii="Times New Roman" w:eastAsia="Times New Roman" w:hAnsi="Times New Roman" w:cs="Times New Roman"/>
          <w:color w:val="000000"/>
          <w:sz w:val="26"/>
          <w:szCs w:val="26"/>
          <w:lang w:eastAsia="ru-RU"/>
        </w:rPr>
        <w:t>Конкурсным управляющим Банка 12 октября 2018 года завершена инвентаризация имущества Банка по состоянию на дату открытия конкурсного производства (13 июля 2018 года), по результатам которой выявлена недостача в размере 133 894 тыс. руб. Также на балансе Банка отражено имущество (офисная мебель, оргтехника и прочее) в количестве 1 549 единиц на общую сумму 2 146 тыс. руб., неучтенное на балансовых счетах Банка. Сведения о результатах инвентаризации размещены 17 октября 2018 года в ЕФРСБ и на сайте Агентства в сети Интернет.</w:t>
      </w:r>
    </w:p>
    <w:p w:rsidR="00F23256" w:rsidRPr="00F23256" w:rsidRDefault="00F23256" w:rsidP="00F23256">
      <w:pPr>
        <w:spacing w:after="0" w:line="240" w:lineRule="auto"/>
        <w:ind w:firstLine="709"/>
        <w:jc w:val="both"/>
        <w:rPr>
          <w:rFonts w:ascii="Times New Roman" w:eastAsia="Times New Roman" w:hAnsi="Times New Roman" w:cs="Times New Roman"/>
          <w:color w:val="000000"/>
          <w:sz w:val="26"/>
          <w:szCs w:val="26"/>
          <w:lang w:eastAsia="ru-RU"/>
        </w:rPr>
      </w:pPr>
      <w:r w:rsidRPr="00F23256">
        <w:rPr>
          <w:rFonts w:ascii="Times New Roman" w:eastAsia="Times New Roman" w:hAnsi="Times New Roman" w:cs="Times New Roman"/>
          <w:color w:val="000000"/>
          <w:sz w:val="26"/>
          <w:szCs w:val="26"/>
          <w:lang w:eastAsia="ru-RU"/>
        </w:rPr>
        <w:t>Конкурсным управляющим осуществляются мероприятия по взысканию ссудной задолженности с должников Банка в судебном порядке. По состоянию на 1 декабря 2018 года в суды подано 93 иска на общую сумму 2 416 799 тыс. руб. (в том числе 53 иска на общую сумму 1 075 940 тыс. руб., поданные до начала открытия конкурсного производства), из которых удовлетворено 29 исков на общую сумму 273 042 тыс. руб., в том числе частично удовлетворено 4 иска на общую сумму 63 602 тыс. руб., 64 иска на общую сумму 2 115 968 тыс. руб. находятся на рассмотрении.</w:t>
      </w:r>
    </w:p>
    <w:p w:rsidR="00F23256" w:rsidRPr="00F23256" w:rsidRDefault="00F23256" w:rsidP="00F23256">
      <w:pPr>
        <w:spacing w:after="0" w:line="240" w:lineRule="auto"/>
        <w:ind w:firstLine="709"/>
        <w:jc w:val="both"/>
        <w:rPr>
          <w:rFonts w:ascii="Times New Roman" w:eastAsia="Times New Roman" w:hAnsi="Times New Roman" w:cs="Times New Roman"/>
          <w:color w:val="000000"/>
          <w:sz w:val="26"/>
          <w:szCs w:val="26"/>
          <w:lang w:eastAsia="ru-RU"/>
        </w:rPr>
      </w:pPr>
      <w:r w:rsidRPr="00F23256">
        <w:rPr>
          <w:rFonts w:ascii="Times New Roman" w:eastAsia="Times New Roman" w:hAnsi="Times New Roman" w:cs="Times New Roman"/>
          <w:color w:val="000000"/>
          <w:sz w:val="26"/>
          <w:szCs w:val="26"/>
          <w:lang w:eastAsia="ru-RU"/>
        </w:rPr>
        <w:t>На основании вступивших в законную силу судебных актов возбуждено 486 исполнительных производств на общую сумму 666 710 тыс. руб. (в том числе 414 исполнительных производств на общую сумму 328 556 тыс. руб., возбужденные до начала открытия конкурсного производства), из которых 9 на общую сумму 2 916 тыс. руб. прекращены и 165 на общую сумму 48 219 тыс. руб. окончены в соответствии с Федеральным законом от 2 октября 2007 года № 229-ФЗ «Об исполнительном производстве», в том числе 110 на сумму 25 568 тыс. руб. завершены актами о невозможности взыскания задолженности.</w:t>
      </w:r>
    </w:p>
    <w:p w:rsidR="00F23256" w:rsidRPr="00F23256" w:rsidRDefault="00F23256" w:rsidP="00F23256">
      <w:pPr>
        <w:spacing w:after="0" w:line="240" w:lineRule="auto"/>
        <w:ind w:firstLine="709"/>
        <w:jc w:val="both"/>
        <w:rPr>
          <w:rFonts w:ascii="Times New Roman" w:eastAsia="Times New Roman" w:hAnsi="Times New Roman" w:cs="Times New Roman"/>
          <w:color w:val="000000"/>
          <w:sz w:val="26"/>
          <w:szCs w:val="26"/>
          <w:lang w:eastAsia="ru-RU"/>
        </w:rPr>
      </w:pPr>
      <w:r w:rsidRPr="00F23256">
        <w:rPr>
          <w:rFonts w:ascii="Times New Roman" w:eastAsia="Times New Roman" w:hAnsi="Times New Roman" w:cs="Times New Roman"/>
          <w:color w:val="000000"/>
          <w:sz w:val="26"/>
          <w:szCs w:val="26"/>
          <w:lang w:eastAsia="ru-RU"/>
        </w:rPr>
        <w:lastRenderedPageBreak/>
        <w:t>По состоянию на 1 декабря 2018 года сделки, отвечающие в соответствии с Федеральным законом признакам недействительности, не выявлены.</w:t>
      </w:r>
    </w:p>
    <w:p w:rsidR="00F23256" w:rsidRPr="00F23256" w:rsidRDefault="00F23256" w:rsidP="00F23256">
      <w:pPr>
        <w:spacing w:after="0" w:line="240" w:lineRule="auto"/>
        <w:ind w:firstLine="709"/>
        <w:jc w:val="both"/>
        <w:rPr>
          <w:rFonts w:ascii="Times New Roman" w:eastAsia="Times New Roman" w:hAnsi="Times New Roman" w:cs="Times New Roman"/>
          <w:color w:val="000000"/>
          <w:sz w:val="26"/>
          <w:szCs w:val="26"/>
          <w:lang w:eastAsia="ru-RU"/>
        </w:rPr>
      </w:pPr>
      <w:r w:rsidRPr="00F23256">
        <w:rPr>
          <w:rFonts w:ascii="Times New Roman" w:eastAsia="Times New Roman" w:hAnsi="Times New Roman" w:cs="Times New Roman"/>
          <w:color w:val="000000"/>
          <w:sz w:val="26"/>
          <w:szCs w:val="26"/>
          <w:lang w:eastAsia="ru-RU"/>
        </w:rPr>
        <w:t>30 мая 2018 года временной администрацией по управлению Банком в СД МВД России направлено заявление по ст. 159, 160, 165, 196 и 201 УК РФ по фактам хищения имущества банка, путем выдачи кредитов юридическим лицам и преднамеренного банкротства.</w:t>
      </w:r>
    </w:p>
    <w:p w:rsidR="00F23256" w:rsidRPr="00F23256" w:rsidRDefault="00F23256" w:rsidP="00F23256">
      <w:pPr>
        <w:spacing w:after="0" w:line="240" w:lineRule="auto"/>
        <w:ind w:firstLine="709"/>
        <w:jc w:val="both"/>
        <w:rPr>
          <w:rFonts w:ascii="Times New Roman" w:eastAsia="Times New Roman" w:hAnsi="Times New Roman" w:cs="Times New Roman"/>
          <w:color w:val="000000"/>
          <w:sz w:val="26"/>
          <w:szCs w:val="26"/>
          <w:lang w:eastAsia="ru-RU"/>
        </w:rPr>
      </w:pPr>
      <w:r w:rsidRPr="00F23256">
        <w:rPr>
          <w:rFonts w:ascii="Times New Roman" w:eastAsia="Times New Roman" w:hAnsi="Times New Roman" w:cs="Times New Roman"/>
          <w:color w:val="000000"/>
          <w:sz w:val="26"/>
          <w:szCs w:val="26"/>
          <w:lang w:eastAsia="ru-RU"/>
        </w:rPr>
        <w:t>1 августа 2018 года Банком России в МВД и СК России направлено заявление по ст. 159, 160, 165, 196 и 201 УК РФ по фактам хищения имущества банка, путем выдачи кредитов юридическим лицам и преднамеренного банкротства.</w:t>
      </w:r>
    </w:p>
    <w:p w:rsidR="00F23256" w:rsidRPr="00F23256" w:rsidRDefault="00F23256" w:rsidP="00F23256">
      <w:pPr>
        <w:spacing w:after="0" w:line="240" w:lineRule="auto"/>
        <w:ind w:firstLine="709"/>
        <w:jc w:val="both"/>
        <w:rPr>
          <w:rFonts w:ascii="Times New Roman" w:eastAsia="Times New Roman" w:hAnsi="Times New Roman" w:cs="Times New Roman"/>
          <w:color w:val="000000"/>
          <w:sz w:val="26"/>
          <w:szCs w:val="26"/>
          <w:lang w:eastAsia="ru-RU"/>
        </w:rPr>
      </w:pPr>
      <w:r w:rsidRPr="00F23256">
        <w:rPr>
          <w:rFonts w:ascii="Times New Roman" w:eastAsia="Times New Roman" w:hAnsi="Times New Roman" w:cs="Times New Roman"/>
          <w:color w:val="000000"/>
          <w:sz w:val="26"/>
          <w:szCs w:val="26"/>
          <w:lang w:eastAsia="ru-RU"/>
        </w:rPr>
        <w:t>19 декабря 2018 года направлены запросы о предоставлении информации о результатах рассмотрения заявления Банка России.</w:t>
      </w:r>
    </w:p>
    <w:p w:rsidR="00F23256" w:rsidRPr="00F23256" w:rsidRDefault="00F23256" w:rsidP="00F23256">
      <w:pPr>
        <w:spacing w:after="0" w:line="240" w:lineRule="auto"/>
        <w:ind w:firstLine="709"/>
        <w:jc w:val="both"/>
        <w:rPr>
          <w:rFonts w:ascii="Times New Roman" w:eastAsia="Times New Roman" w:hAnsi="Times New Roman" w:cs="Times New Roman"/>
          <w:color w:val="000000"/>
          <w:sz w:val="26"/>
          <w:szCs w:val="26"/>
          <w:lang w:eastAsia="ru-RU"/>
        </w:rPr>
      </w:pPr>
      <w:r w:rsidRPr="00F23256">
        <w:rPr>
          <w:rFonts w:ascii="Times New Roman" w:eastAsia="Times New Roman" w:hAnsi="Times New Roman" w:cs="Times New Roman"/>
          <w:color w:val="000000"/>
          <w:sz w:val="26"/>
          <w:szCs w:val="26"/>
          <w:lang w:eastAsia="ru-RU"/>
        </w:rPr>
        <w:t>В настоящее время проводится проверка обстоятельств банкротства Банка.</w:t>
      </w:r>
    </w:p>
    <w:p w:rsidR="00F23256" w:rsidRPr="00F23256" w:rsidRDefault="00F23256" w:rsidP="00F23256">
      <w:pPr>
        <w:spacing w:after="0" w:line="240" w:lineRule="auto"/>
        <w:ind w:firstLine="709"/>
        <w:jc w:val="both"/>
        <w:rPr>
          <w:rFonts w:ascii="Times New Roman" w:eastAsia="Times New Roman" w:hAnsi="Times New Roman" w:cs="Times New Roman"/>
          <w:color w:val="000000"/>
          <w:sz w:val="26"/>
          <w:szCs w:val="26"/>
          <w:lang w:eastAsia="ru-RU"/>
        </w:rPr>
      </w:pPr>
      <w:r w:rsidRPr="00F23256">
        <w:rPr>
          <w:rFonts w:ascii="Times New Roman" w:eastAsia="Times New Roman" w:hAnsi="Times New Roman" w:cs="Times New Roman"/>
          <w:color w:val="000000"/>
          <w:sz w:val="26"/>
          <w:szCs w:val="26"/>
          <w:lang w:eastAsia="ru-RU"/>
        </w:rPr>
        <w:t>В соответствии с требованиями п. 7 ст. 189.75 Федерального закона Агентство опубликовывает сведения о стоимости нереализованного имущества Банка и отчет об исполнении сметы текущих расходов.</w:t>
      </w:r>
    </w:p>
    <w:p w:rsidR="00F23256" w:rsidRDefault="00F23256" w:rsidP="00F23256">
      <w:pPr>
        <w:spacing w:after="0" w:line="240" w:lineRule="auto"/>
        <w:jc w:val="center"/>
        <w:rPr>
          <w:rFonts w:ascii="Times New Roman" w:eastAsia="Times New Roman" w:hAnsi="Times New Roman" w:cs="Times New Roman"/>
          <w:b/>
          <w:bCs/>
          <w:color w:val="000000"/>
          <w:sz w:val="26"/>
          <w:szCs w:val="26"/>
          <w:lang w:eastAsia="ru-RU"/>
        </w:rPr>
      </w:pPr>
    </w:p>
    <w:p w:rsidR="00F23256" w:rsidRPr="00F23256" w:rsidRDefault="00F23256" w:rsidP="00F23256">
      <w:pPr>
        <w:spacing w:after="0" w:line="240" w:lineRule="auto"/>
        <w:jc w:val="center"/>
        <w:rPr>
          <w:rFonts w:ascii="Times New Roman" w:eastAsia="Times New Roman" w:hAnsi="Times New Roman" w:cs="Times New Roman"/>
          <w:color w:val="000000"/>
          <w:sz w:val="26"/>
          <w:szCs w:val="26"/>
          <w:lang w:eastAsia="ru-RU"/>
        </w:rPr>
      </w:pPr>
      <w:r w:rsidRPr="00F23256">
        <w:rPr>
          <w:rFonts w:ascii="Times New Roman" w:eastAsia="Times New Roman" w:hAnsi="Times New Roman" w:cs="Times New Roman"/>
          <w:b/>
          <w:bCs/>
          <w:color w:val="000000"/>
          <w:sz w:val="26"/>
          <w:szCs w:val="26"/>
          <w:lang w:eastAsia="ru-RU"/>
        </w:rPr>
        <w:t>Сведения о стоимости нереализованного имущества</w:t>
      </w:r>
      <w:r w:rsidRPr="00F23256">
        <w:rPr>
          <w:rFonts w:ascii="Times New Roman" w:eastAsia="Times New Roman" w:hAnsi="Times New Roman" w:cs="Times New Roman"/>
          <w:b/>
          <w:bCs/>
          <w:color w:val="000000"/>
          <w:sz w:val="26"/>
          <w:szCs w:val="26"/>
          <w:lang w:eastAsia="ru-RU"/>
        </w:rPr>
        <w:br/>
        <w:t>ООО КБ «Конфидэнс Банк» по состоянию на 1 декабря 2018 года</w:t>
      </w:r>
    </w:p>
    <w:p w:rsidR="00F23256" w:rsidRPr="00F23256" w:rsidRDefault="00F23256" w:rsidP="00F23256">
      <w:pPr>
        <w:spacing w:after="0" w:line="240" w:lineRule="auto"/>
        <w:jc w:val="right"/>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(тыс. руб.)</w:t>
      </w:r>
      <w:r w:rsidRPr="00F23256">
        <w:rPr>
          <w:rFonts w:ascii="Times New Roman" w:eastAsia="Times New Roman" w:hAnsi="Times New Roman" w:cs="Times New Roman"/>
          <w:b/>
          <w:bCs/>
          <w:color w:val="000000"/>
          <w:lang w:eastAsia="ru-RU"/>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10"/>
        <w:gridCol w:w="4910"/>
        <w:gridCol w:w="1996"/>
        <w:gridCol w:w="1999"/>
      </w:tblGrid>
      <w:tr w:rsidR="00F23256" w:rsidRPr="00F23256" w:rsidTr="00F23256">
        <w:trPr>
          <w:trHeight w:val="299"/>
          <w:tblCellSpacing w:w="20" w:type="dxa"/>
        </w:trPr>
        <w:tc>
          <w:tcPr>
            <w:tcW w:w="0" w:type="auto"/>
            <w:vMerge w:val="restar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b/>
                <w:bCs/>
                <w:color w:val="000000"/>
                <w:lang w:eastAsia="ru-RU"/>
              </w:rPr>
              <w:t>№ п/п</w:t>
            </w:r>
          </w:p>
        </w:tc>
        <w:tc>
          <w:tcPr>
            <w:tcW w:w="0" w:type="auto"/>
            <w:vMerge w:val="restar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b/>
                <w:bCs/>
                <w:color w:val="000000"/>
                <w:lang w:eastAsia="ru-RU"/>
              </w:rPr>
              <w:t>Наименование имущества (дебитора)</w:t>
            </w:r>
          </w:p>
        </w:tc>
        <w:tc>
          <w:tcPr>
            <w:tcW w:w="0" w:type="auto"/>
            <w:vMerge w:val="restar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b/>
                <w:bCs/>
                <w:color w:val="000000"/>
                <w:lang w:eastAsia="ru-RU"/>
              </w:rPr>
              <w:t>Балансовая стоимость</w:t>
            </w:r>
          </w:p>
        </w:tc>
        <w:tc>
          <w:tcPr>
            <w:tcW w:w="0" w:type="auto"/>
            <w:vMerge w:val="restar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b/>
                <w:bCs/>
                <w:color w:val="000000"/>
                <w:lang w:eastAsia="ru-RU"/>
              </w:rPr>
              <w:t>Оценочная стоимость</w:t>
            </w:r>
          </w:p>
        </w:tc>
      </w:tr>
      <w:tr w:rsidR="00F23256" w:rsidRPr="00F23256" w:rsidTr="00F23256">
        <w:trPr>
          <w:trHeight w:val="299"/>
          <w:tblCellSpacing w:w="20" w:type="dxa"/>
        </w:trPr>
        <w:tc>
          <w:tcPr>
            <w:tcW w:w="0" w:type="auto"/>
            <w:vMerge/>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p>
        </w:tc>
        <w:tc>
          <w:tcPr>
            <w:tcW w:w="0" w:type="auto"/>
            <w:vMerge/>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p>
        </w:tc>
        <w:tc>
          <w:tcPr>
            <w:tcW w:w="0" w:type="auto"/>
            <w:vMerge/>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p>
        </w:tc>
        <w:tc>
          <w:tcPr>
            <w:tcW w:w="0" w:type="auto"/>
            <w:vMerge/>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p>
        </w:tc>
      </w:tr>
      <w:tr w:rsidR="00F23256" w:rsidRPr="00F23256" w:rsidTr="00F23256">
        <w:trPr>
          <w:tblCellSpacing w:w="20" w:type="dxa"/>
        </w:trPr>
        <w:tc>
          <w:tcPr>
            <w:tcW w:w="0" w:type="auto"/>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2</w:t>
            </w:r>
          </w:p>
        </w:tc>
        <w:tc>
          <w:tcPr>
            <w:tcW w:w="0" w:type="auto"/>
            <w:tcMar>
              <w:top w:w="75" w:type="dxa"/>
              <w:left w:w="75" w:type="dxa"/>
              <w:bottom w:w="75" w:type="dxa"/>
              <w:right w:w="75" w:type="dxa"/>
            </w:tcMar>
            <w:vAlign w:val="center"/>
            <w:hideMark/>
          </w:tcPr>
          <w:p w:rsidR="00F23256" w:rsidRPr="00F23256" w:rsidRDefault="00F23256" w:rsidP="00F23256">
            <w:pPr>
              <w:spacing w:after="0" w:line="240" w:lineRule="auto"/>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Ценные бумаги</w:t>
            </w:r>
          </w:p>
        </w:tc>
        <w:tc>
          <w:tcPr>
            <w:tcW w:w="0" w:type="auto"/>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312 198</w:t>
            </w:r>
          </w:p>
        </w:tc>
        <w:tc>
          <w:tcPr>
            <w:tcW w:w="0" w:type="auto"/>
            <w:vMerge w:val="restar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Оценка не проводилась</w:t>
            </w:r>
          </w:p>
        </w:tc>
      </w:tr>
      <w:tr w:rsidR="00F23256" w:rsidRPr="00F23256" w:rsidTr="00F23256">
        <w:trPr>
          <w:tblCellSpacing w:w="20" w:type="dxa"/>
        </w:trPr>
        <w:tc>
          <w:tcPr>
            <w:tcW w:w="0" w:type="auto"/>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3</w:t>
            </w:r>
          </w:p>
        </w:tc>
        <w:tc>
          <w:tcPr>
            <w:tcW w:w="0" w:type="auto"/>
            <w:tcMar>
              <w:top w:w="75" w:type="dxa"/>
              <w:left w:w="75" w:type="dxa"/>
              <w:bottom w:w="75" w:type="dxa"/>
              <w:right w:w="75" w:type="dxa"/>
            </w:tcMar>
            <w:vAlign w:val="center"/>
            <w:hideMark/>
          </w:tcPr>
          <w:p w:rsidR="00F23256" w:rsidRPr="00F23256" w:rsidRDefault="00F23256" w:rsidP="00F23256">
            <w:pPr>
              <w:spacing w:after="0" w:line="240" w:lineRule="auto"/>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Кредиты предприятиям и организациям</w:t>
            </w:r>
          </w:p>
        </w:tc>
        <w:tc>
          <w:tcPr>
            <w:tcW w:w="0" w:type="auto"/>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2 645 589</w:t>
            </w:r>
          </w:p>
        </w:tc>
        <w:tc>
          <w:tcPr>
            <w:tcW w:w="0" w:type="auto"/>
            <w:vMerge/>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p>
        </w:tc>
      </w:tr>
      <w:tr w:rsidR="00F23256" w:rsidRPr="00F23256" w:rsidTr="00F23256">
        <w:trPr>
          <w:tblCellSpacing w:w="20" w:type="dxa"/>
        </w:trPr>
        <w:tc>
          <w:tcPr>
            <w:tcW w:w="0" w:type="auto"/>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4</w:t>
            </w:r>
          </w:p>
        </w:tc>
        <w:tc>
          <w:tcPr>
            <w:tcW w:w="0" w:type="auto"/>
            <w:tcMar>
              <w:top w:w="75" w:type="dxa"/>
              <w:left w:w="75" w:type="dxa"/>
              <w:bottom w:w="75" w:type="dxa"/>
              <w:right w:w="75" w:type="dxa"/>
            </w:tcMar>
            <w:vAlign w:val="center"/>
            <w:hideMark/>
          </w:tcPr>
          <w:p w:rsidR="00F23256" w:rsidRPr="00F23256" w:rsidRDefault="00F23256" w:rsidP="00F23256">
            <w:pPr>
              <w:spacing w:after="0" w:line="240" w:lineRule="auto"/>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Кредиты физическим лицам</w:t>
            </w:r>
          </w:p>
        </w:tc>
        <w:tc>
          <w:tcPr>
            <w:tcW w:w="0" w:type="auto"/>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1 053 854</w:t>
            </w:r>
          </w:p>
        </w:tc>
        <w:tc>
          <w:tcPr>
            <w:tcW w:w="0" w:type="auto"/>
            <w:vMerge/>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p>
        </w:tc>
      </w:tr>
      <w:tr w:rsidR="00F23256" w:rsidRPr="00F23256" w:rsidTr="00F23256">
        <w:trPr>
          <w:tblCellSpacing w:w="20" w:type="dxa"/>
        </w:trPr>
        <w:tc>
          <w:tcPr>
            <w:tcW w:w="0" w:type="auto"/>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5</w:t>
            </w:r>
          </w:p>
        </w:tc>
        <w:tc>
          <w:tcPr>
            <w:tcW w:w="0" w:type="auto"/>
            <w:tcMar>
              <w:top w:w="75" w:type="dxa"/>
              <w:left w:w="75" w:type="dxa"/>
              <w:bottom w:w="75" w:type="dxa"/>
              <w:right w:w="75" w:type="dxa"/>
            </w:tcMar>
            <w:vAlign w:val="center"/>
            <w:hideMark/>
          </w:tcPr>
          <w:p w:rsidR="00F23256" w:rsidRPr="00F23256" w:rsidRDefault="00F23256" w:rsidP="00F23256">
            <w:pPr>
              <w:spacing w:after="0" w:line="240" w:lineRule="auto"/>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Основные средства и хозяйственные затраты (за исключением амортизации)</w:t>
            </w:r>
          </w:p>
        </w:tc>
        <w:tc>
          <w:tcPr>
            <w:tcW w:w="0" w:type="auto"/>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45 644</w:t>
            </w:r>
          </w:p>
        </w:tc>
        <w:tc>
          <w:tcPr>
            <w:tcW w:w="0" w:type="auto"/>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30 099</w:t>
            </w:r>
          </w:p>
        </w:tc>
      </w:tr>
      <w:tr w:rsidR="00F23256" w:rsidRPr="00F23256" w:rsidTr="00F23256">
        <w:trPr>
          <w:tblCellSpacing w:w="20" w:type="dxa"/>
        </w:trPr>
        <w:tc>
          <w:tcPr>
            <w:tcW w:w="0" w:type="auto"/>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6</w:t>
            </w:r>
          </w:p>
        </w:tc>
        <w:tc>
          <w:tcPr>
            <w:tcW w:w="0" w:type="auto"/>
            <w:tcMar>
              <w:top w:w="75" w:type="dxa"/>
              <w:left w:w="75" w:type="dxa"/>
              <w:bottom w:w="75" w:type="dxa"/>
              <w:right w:w="75" w:type="dxa"/>
            </w:tcMar>
            <w:vAlign w:val="center"/>
            <w:hideMark/>
          </w:tcPr>
          <w:p w:rsidR="00F23256" w:rsidRPr="00F23256" w:rsidRDefault="00F23256" w:rsidP="00F23256">
            <w:pPr>
              <w:spacing w:after="0" w:line="240" w:lineRule="auto"/>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Прочие активы</w:t>
            </w:r>
          </w:p>
        </w:tc>
        <w:tc>
          <w:tcPr>
            <w:tcW w:w="0" w:type="auto"/>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86 145</w:t>
            </w:r>
          </w:p>
        </w:tc>
        <w:tc>
          <w:tcPr>
            <w:tcW w:w="0" w:type="auto"/>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Оценка не проводилась</w:t>
            </w:r>
          </w:p>
        </w:tc>
      </w:tr>
      <w:tr w:rsidR="00F23256" w:rsidRPr="00F23256" w:rsidTr="00F23256">
        <w:trPr>
          <w:tblCellSpacing w:w="20" w:type="dxa"/>
        </w:trPr>
        <w:tc>
          <w:tcPr>
            <w:tcW w:w="0" w:type="auto"/>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p>
        </w:tc>
        <w:tc>
          <w:tcPr>
            <w:tcW w:w="0" w:type="auto"/>
            <w:tcMar>
              <w:top w:w="75" w:type="dxa"/>
              <w:left w:w="75" w:type="dxa"/>
              <w:bottom w:w="75" w:type="dxa"/>
              <w:right w:w="75" w:type="dxa"/>
            </w:tcMar>
            <w:vAlign w:val="center"/>
            <w:hideMark/>
          </w:tcPr>
          <w:p w:rsidR="00F23256" w:rsidRPr="00F23256" w:rsidRDefault="00F23256" w:rsidP="00F2325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Итого</w:t>
            </w:r>
          </w:p>
        </w:tc>
        <w:tc>
          <w:tcPr>
            <w:tcW w:w="0" w:type="auto"/>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4 143 430</w:t>
            </w:r>
          </w:p>
        </w:tc>
        <w:tc>
          <w:tcPr>
            <w:tcW w:w="0" w:type="auto"/>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30 099</w:t>
            </w:r>
          </w:p>
        </w:tc>
      </w:tr>
    </w:tbl>
    <w:p w:rsidR="00F23256" w:rsidRDefault="00F23256" w:rsidP="00F23256">
      <w:pPr>
        <w:spacing w:after="0" w:line="240" w:lineRule="auto"/>
        <w:jc w:val="center"/>
        <w:rPr>
          <w:rFonts w:ascii="Times New Roman" w:eastAsia="Times New Roman" w:hAnsi="Times New Roman" w:cs="Times New Roman"/>
          <w:b/>
          <w:bCs/>
          <w:color w:val="000000"/>
          <w:sz w:val="26"/>
          <w:szCs w:val="26"/>
          <w:lang w:eastAsia="ru-RU"/>
        </w:rPr>
      </w:pPr>
    </w:p>
    <w:p w:rsidR="00F23256" w:rsidRPr="00F23256" w:rsidRDefault="00F23256" w:rsidP="00F23256">
      <w:pPr>
        <w:spacing w:after="0" w:line="240" w:lineRule="auto"/>
        <w:jc w:val="center"/>
        <w:rPr>
          <w:rFonts w:ascii="Times New Roman" w:eastAsia="Times New Roman" w:hAnsi="Times New Roman" w:cs="Times New Roman"/>
          <w:color w:val="000000"/>
          <w:sz w:val="26"/>
          <w:szCs w:val="26"/>
          <w:lang w:eastAsia="ru-RU"/>
        </w:rPr>
      </w:pPr>
      <w:r w:rsidRPr="00F23256">
        <w:rPr>
          <w:rFonts w:ascii="Times New Roman" w:eastAsia="Times New Roman" w:hAnsi="Times New Roman" w:cs="Times New Roman"/>
          <w:b/>
          <w:bCs/>
          <w:color w:val="000000"/>
          <w:sz w:val="26"/>
          <w:szCs w:val="26"/>
          <w:lang w:eastAsia="ru-RU"/>
        </w:rPr>
        <w:t>Отчет об исполнении сметы текущих расходов (затрат) на проведение конкурсного производства Банка за период с 13 июля по 30 ноября 2018 года</w:t>
      </w:r>
    </w:p>
    <w:p w:rsidR="00F23256" w:rsidRPr="00F23256" w:rsidRDefault="00F23256" w:rsidP="00F23256">
      <w:pPr>
        <w:spacing w:after="0" w:line="240" w:lineRule="auto"/>
        <w:jc w:val="right"/>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(тыс. руб.)</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63"/>
        <w:gridCol w:w="4568"/>
        <w:gridCol w:w="1229"/>
        <w:gridCol w:w="1231"/>
        <w:gridCol w:w="1924"/>
      </w:tblGrid>
      <w:tr w:rsidR="00F23256" w:rsidRPr="00F23256" w:rsidTr="00F23256">
        <w:trPr>
          <w:trHeight w:val="299"/>
          <w:tblCellSpacing w:w="20" w:type="dxa"/>
        </w:trPr>
        <w:tc>
          <w:tcPr>
            <w:tcW w:w="314" w:type="pct"/>
            <w:vMerge w:val="restar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b/>
                <w:bCs/>
                <w:color w:val="000000"/>
                <w:lang w:eastAsia="ru-RU"/>
              </w:rPr>
              <w:t>№ п/п</w:t>
            </w:r>
          </w:p>
        </w:tc>
        <w:tc>
          <w:tcPr>
            <w:tcW w:w="2355" w:type="pct"/>
            <w:vMerge w:val="restar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b/>
                <w:bCs/>
                <w:color w:val="000000"/>
                <w:lang w:eastAsia="ru-RU"/>
              </w:rPr>
              <w:t>Перечень расходов и затрат</w:t>
            </w:r>
          </w:p>
        </w:tc>
        <w:tc>
          <w:tcPr>
            <w:tcW w:w="618" w:type="pct"/>
            <w:vMerge w:val="restar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b/>
                <w:bCs/>
                <w:color w:val="000000"/>
                <w:lang w:eastAsia="ru-RU"/>
              </w:rPr>
              <w:t>План</w:t>
            </w:r>
          </w:p>
        </w:tc>
        <w:tc>
          <w:tcPr>
            <w:tcW w:w="619" w:type="pct"/>
            <w:vMerge w:val="restar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b/>
                <w:bCs/>
                <w:color w:val="000000"/>
                <w:lang w:eastAsia="ru-RU"/>
              </w:rPr>
              <w:t>Факт</w:t>
            </w:r>
          </w:p>
        </w:tc>
        <w:tc>
          <w:tcPr>
            <w:tcW w:w="969" w:type="pct"/>
            <w:vMerge w:val="restar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b/>
                <w:bCs/>
                <w:color w:val="000000"/>
                <w:lang w:eastAsia="ru-RU"/>
              </w:rPr>
              <w:t>Экономия (+)/ перерасход (-)</w:t>
            </w:r>
          </w:p>
        </w:tc>
      </w:tr>
      <w:tr w:rsidR="00F23256" w:rsidRPr="00F23256" w:rsidTr="00F23256">
        <w:trPr>
          <w:trHeight w:val="299"/>
          <w:tblCellSpacing w:w="20" w:type="dxa"/>
        </w:trPr>
        <w:tc>
          <w:tcPr>
            <w:tcW w:w="314" w:type="pct"/>
            <w:vMerge/>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p>
        </w:tc>
        <w:tc>
          <w:tcPr>
            <w:tcW w:w="2355" w:type="pct"/>
            <w:vMerge/>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p>
        </w:tc>
        <w:tc>
          <w:tcPr>
            <w:tcW w:w="618" w:type="pct"/>
            <w:vMerge/>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p>
        </w:tc>
        <w:tc>
          <w:tcPr>
            <w:tcW w:w="619" w:type="pct"/>
            <w:vMerge/>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p>
        </w:tc>
        <w:tc>
          <w:tcPr>
            <w:tcW w:w="969" w:type="pct"/>
            <w:vMerge/>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p>
        </w:tc>
      </w:tr>
      <w:tr w:rsidR="00F23256" w:rsidRPr="00F23256" w:rsidTr="00F23256">
        <w:trPr>
          <w:tblCellSpacing w:w="20" w:type="dxa"/>
        </w:trPr>
        <w:tc>
          <w:tcPr>
            <w:tcW w:w="314" w:type="pc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1</w:t>
            </w:r>
          </w:p>
        </w:tc>
        <w:tc>
          <w:tcPr>
            <w:tcW w:w="2355" w:type="pct"/>
            <w:tcMar>
              <w:top w:w="75" w:type="dxa"/>
              <w:left w:w="75" w:type="dxa"/>
              <w:bottom w:w="75" w:type="dxa"/>
              <w:right w:w="75" w:type="dxa"/>
            </w:tcMar>
            <w:vAlign w:val="center"/>
            <w:hideMark/>
          </w:tcPr>
          <w:p w:rsidR="00F23256" w:rsidRPr="00F23256" w:rsidRDefault="00F23256" w:rsidP="00F23256">
            <w:pPr>
              <w:spacing w:after="0" w:line="240" w:lineRule="auto"/>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Административно-хозяйственные расходы</w:t>
            </w:r>
          </w:p>
        </w:tc>
        <w:tc>
          <w:tcPr>
            <w:tcW w:w="618" w:type="pc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38 674</w:t>
            </w:r>
          </w:p>
        </w:tc>
        <w:tc>
          <w:tcPr>
            <w:tcW w:w="619" w:type="pc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11 358</w:t>
            </w:r>
          </w:p>
        </w:tc>
        <w:tc>
          <w:tcPr>
            <w:tcW w:w="969" w:type="pc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+ 27 316</w:t>
            </w:r>
          </w:p>
        </w:tc>
      </w:tr>
      <w:tr w:rsidR="00F23256" w:rsidRPr="00F23256" w:rsidTr="00F23256">
        <w:trPr>
          <w:tblCellSpacing w:w="20" w:type="dxa"/>
        </w:trPr>
        <w:tc>
          <w:tcPr>
            <w:tcW w:w="314" w:type="pc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2</w:t>
            </w:r>
          </w:p>
        </w:tc>
        <w:tc>
          <w:tcPr>
            <w:tcW w:w="2355" w:type="pct"/>
            <w:tcMar>
              <w:top w:w="75" w:type="dxa"/>
              <w:left w:w="75" w:type="dxa"/>
              <w:bottom w:w="75" w:type="dxa"/>
              <w:right w:w="75" w:type="dxa"/>
            </w:tcMar>
            <w:vAlign w:val="center"/>
            <w:hideMark/>
          </w:tcPr>
          <w:p w:rsidR="00F23256" w:rsidRPr="00F23256" w:rsidRDefault="00F23256" w:rsidP="00F23256">
            <w:pPr>
              <w:spacing w:after="0" w:line="240" w:lineRule="auto"/>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Расходы на содержание аппарата</w:t>
            </w:r>
          </w:p>
        </w:tc>
        <w:tc>
          <w:tcPr>
            <w:tcW w:w="618" w:type="pc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36 003</w:t>
            </w:r>
          </w:p>
        </w:tc>
        <w:tc>
          <w:tcPr>
            <w:tcW w:w="619" w:type="pc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13 705</w:t>
            </w:r>
          </w:p>
        </w:tc>
        <w:tc>
          <w:tcPr>
            <w:tcW w:w="969" w:type="pc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+ 22 298</w:t>
            </w:r>
          </w:p>
        </w:tc>
      </w:tr>
      <w:tr w:rsidR="00F23256" w:rsidRPr="00F23256" w:rsidTr="00F23256">
        <w:trPr>
          <w:tblCellSpacing w:w="20" w:type="dxa"/>
        </w:trPr>
        <w:tc>
          <w:tcPr>
            <w:tcW w:w="314" w:type="pc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p>
        </w:tc>
        <w:tc>
          <w:tcPr>
            <w:tcW w:w="2355" w:type="pct"/>
            <w:tcMar>
              <w:top w:w="75" w:type="dxa"/>
              <w:left w:w="75" w:type="dxa"/>
              <w:bottom w:w="75" w:type="dxa"/>
              <w:right w:w="75" w:type="dxa"/>
            </w:tcMar>
            <w:vAlign w:val="center"/>
            <w:hideMark/>
          </w:tcPr>
          <w:p w:rsidR="00F23256" w:rsidRPr="00F23256" w:rsidRDefault="00F23256" w:rsidP="00F2325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Итого</w:t>
            </w:r>
          </w:p>
        </w:tc>
        <w:tc>
          <w:tcPr>
            <w:tcW w:w="618" w:type="pc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74 677</w:t>
            </w:r>
          </w:p>
        </w:tc>
        <w:tc>
          <w:tcPr>
            <w:tcW w:w="619" w:type="pc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25 063</w:t>
            </w:r>
          </w:p>
        </w:tc>
        <w:tc>
          <w:tcPr>
            <w:tcW w:w="969" w:type="pct"/>
            <w:tcMar>
              <w:top w:w="75" w:type="dxa"/>
              <w:left w:w="75" w:type="dxa"/>
              <w:bottom w:w="75" w:type="dxa"/>
              <w:right w:w="75" w:type="dxa"/>
            </w:tcMar>
            <w:vAlign w:val="center"/>
            <w:hideMark/>
          </w:tcPr>
          <w:p w:rsidR="00F23256" w:rsidRPr="00F23256" w:rsidRDefault="00F23256" w:rsidP="00F23256">
            <w:pPr>
              <w:spacing w:after="0" w:line="240" w:lineRule="auto"/>
              <w:jc w:val="center"/>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+ 49 614*</w:t>
            </w:r>
          </w:p>
        </w:tc>
      </w:tr>
    </w:tbl>
    <w:p w:rsidR="00F23256" w:rsidRPr="00F23256" w:rsidRDefault="00F23256" w:rsidP="00F23256">
      <w:pPr>
        <w:spacing w:after="0" w:line="240" w:lineRule="auto"/>
        <w:jc w:val="both"/>
        <w:rPr>
          <w:rFonts w:ascii="Times New Roman" w:eastAsia="Times New Roman" w:hAnsi="Times New Roman" w:cs="Times New Roman"/>
          <w:color w:val="000000"/>
          <w:lang w:eastAsia="ru-RU"/>
        </w:rPr>
      </w:pPr>
      <w:r w:rsidRPr="00F23256">
        <w:rPr>
          <w:rFonts w:ascii="Times New Roman" w:eastAsia="Times New Roman" w:hAnsi="Times New Roman" w:cs="Times New Roman"/>
          <w:color w:val="000000"/>
          <w:lang w:eastAsia="ru-RU"/>
        </w:rPr>
        <w:t>Примечание: сведения представляются нарастающим итогом с даты начала открытия конкурсного производства по отчетную дату.</w:t>
      </w:r>
    </w:p>
    <w:p w:rsidR="00896C83" w:rsidRPr="00F23256" w:rsidRDefault="00F23256" w:rsidP="00F23256">
      <w:pPr>
        <w:spacing w:after="0" w:line="240" w:lineRule="auto"/>
        <w:jc w:val="both"/>
        <w:rPr>
          <w:rFonts w:ascii="Times New Roman" w:hAnsi="Times New Roman" w:cs="Times New Roman"/>
        </w:rPr>
      </w:pPr>
      <w:r w:rsidRPr="00F23256">
        <w:rPr>
          <w:rFonts w:ascii="Times New Roman" w:eastAsia="Times New Roman" w:hAnsi="Times New Roman" w:cs="Times New Roman"/>
          <w:color w:val="000000"/>
          <w:lang w:eastAsia="ru-RU"/>
        </w:rPr>
        <w:t>*Экономия обусловлена переносом планируемых расходов, непроизведенных в период действия смет, в сметы следующего квартала, по причине несвоевременного предоставления контрагентами первичных документов, подтверждающих факт оказания услуг и несвоевременного обращения уволенных работников за пособиями, предусмотренными законодательством.</w:t>
      </w:r>
    </w:p>
    <w:sectPr w:rsidR="00896C83" w:rsidRPr="00F23256" w:rsidSect="00F23256">
      <w:footerReference w:type="default" r:id="rId7"/>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4C" w:rsidRDefault="0021734C" w:rsidP="00F23256">
      <w:pPr>
        <w:spacing w:after="0" w:line="240" w:lineRule="auto"/>
      </w:pPr>
      <w:r>
        <w:separator/>
      </w:r>
    </w:p>
  </w:endnote>
  <w:endnote w:type="continuationSeparator" w:id="0">
    <w:p w:rsidR="0021734C" w:rsidRDefault="0021734C" w:rsidP="00F2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990451"/>
      <w:docPartObj>
        <w:docPartGallery w:val="Page Numbers (Bottom of Page)"/>
        <w:docPartUnique/>
      </w:docPartObj>
    </w:sdtPr>
    <w:sdtContent>
      <w:p w:rsidR="00F23256" w:rsidRDefault="00F23256">
        <w:pPr>
          <w:pStyle w:val="a6"/>
          <w:jc w:val="right"/>
        </w:pPr>
        <w:r>
          <w:fldChar w:fldCharType="begin"/>
        </w:r>
        <w:r>
          <w:instrText>PAGE   \* MERGEFORMAT</w:instrText>
        </w:r>
        <w:r>
          <w:fldChar w:fldCharType="separate"/>
        </w:r>
        <w:r>
          <w:rPr>
            <w:noProof/>
          </w:rPr>
          <w:t>2</w:t>
        </w:r>
        <w:r>
          <w:fldChar w:fldCharType="end"/>
        </w:r>
      </w:p>
    </w:sdtContent>
  </w:sdt>
  <w:p w:rsidR="00F23256" w:rsidRDefault="00F232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4C" w:rsidRDefault="0021734C" w:rsidP="00F23256">
      <w:pPr>
        <w:spacing w:after="0" w:line="240" w:lineRule="auto"/>
      </w:pPr>
      <w:r>
        <w:separator/>
      </w:r>
    </w:p>
  </w:footnote>
  <w:footnote w:type="continuationSeparator" w:id="0">
    <w:p w:rsidR="0021734C" w:rsidRDefault="0021734C" w:rsidP="00F232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56"/>
    <w:rsid w:val="0021734C"/>
    <w:rsid w:val="00896C83"/>
    <w:rsid w:val="00F23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3256"/>
    <w:pPr>
      <w:spacing w:before="100" w:beforeAutospacing="1" w:after="100" w:afterAutospacing="1" w:line="240" w:lineRule="auto"/>
      <w:outlineLvl w:val="0"/>
    </w:pPr>
    <w:rPr>
      <w:rFonts w:ascii="Times New Roman" w:eastAsia="Times New Roman" w:hAnsi="Times New Roman" w:cs="Times New Roman"/>
      <w:b/>
      <w:bCs/>
      <w:color w:val="000000"/>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256"/>
    <w:rPr>
      <w:rFonts w:ascii="Times New Roman" w:eastAsia="Times New Roman" w:hAnsi="Times New Roman" w:cs="Times New Roman"/>
      <w:b/>
      <w:bCs/>
      <w:color w:val="000000"/>
      <w:kern w:val="36"/>
      <w:sz w:val="44"/>
      <w:szCs w:val="44"/>
      <w:lang w:eastAsia="ru-RU"/>
    </w:rPr>
  </w:style>
  <w:style w:type="paragraph" w:styleId="a3">
    <w:name w:val="Normal (Web)"/>
    <w:basedOn w:val="a"/>
    <w:uiPriority w:val="99"/>
    <w:semiHidden/>
    <w:unhideWhenUsed/>
    <w:rsid w:val="00F23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F23256"/>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styleId="a4">
    <w:name w:val="header"/>
    <w:basedOn w:val="a"/>
    <w:link w:val="a5"/>
    <w:uiPriority w:val="99"/>
    <w:unhideWhenUsed/>
    <w:rsid w:val="00F232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3256"/>
  </w:style>
  <w:style w:type="paragraph" w:styleId="a6">
    <w:name w:val="footer"/>
    <w:basedOn w:val="a"/>
    <w:link w:val="a7"/>
    <w:uiPriority w:val="99"/>
    <w:unhideWhenUsed/>
    <w:rsid w:val="00F232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3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3256"/>
    <w:pPr>
      <w:spacing w:before="100" w:beforeAutospacing="1" w:after="100" w:afterAutospacing="1" w:line="240" w:lineRule="auto"/>
      <w:outlineLvl w:val="0"/>
    </w:pPr>
    <w:rPr>
      <w:rFonts w:ascii="Times New Roman" w:eastAsia="Times New Roman" w:hAnsi="Times New Roman" w:cs="Times New Roman"/>
      <w:b/>
      <w:bCs/>
      <w:color w:val="000000"/>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256"/>
    <w:rPr>
      <w:rFonts w:ascii="Times New Roman" w:eastAsia="Times New Roman" w:hAnsi="Times New Roman" w:cs="Times New Roman"/>
      <w:b/>
      <w:bCs/>
      <w:color w:val="000000"/>
      <w:kern w:val="36"/>
      <w:sz w:val="44"/>
      <w:szCs w:val="44"/>
      <w:lang w:eastAsia="ru-RU"/>
    </w:rPr>
  </w:style>
  <w:style w:type="paragraph" w:styleId="a3">
    <w:name w:val="Normal (Web)"/>
    <w:basedOn w:val="a"/>
    <w:uiPriority w:val="99"/>
    <w:semiHidden/>
    <w:unhideWhenUsed/>
    <w:rsid w:val="00F23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F23256"/>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styleId="a4">
    <w:name w:val="header"/>
    <w:basedOn w:val="a"/>
    <w:link w:val="a5"/>
    <w:uiPriority w:val="99"/>
    <w:unhideWhenUsed/>
    <w:rsid w:val="00F232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3256"/>
  </w:style>
  <w:style w:type="paragraph" w:styleId="a6">
    <w:name w:val="footer"/>
    <w:basedOn w:val="a"/>
    <w:link w:val="a7"/>
    <w:uiPriority w:val="99"/>
    <w:unhideWhenUsed/>
    <w:rsid w:val="00F232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3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20494">
      <w:bodyDiv w:val="1"/>
      <w:marLeft w:val="0"/>
      <w:marRight w:val="0"/>
      <w:marTop w:val="0"/>
      <w:marBottom w:val="0"/>
      <w:divBdr>
        <w:top w:val="none" w:sz="0" w:space="0" w:color="auto"/>
        <w:left w:val="none" w:sz="0" w:space="0" w:color="auto"/>
        <w:bottom w:val="none" w:sz="0" w:space="0" w:color="auto"/>
        <w:right w:val="none" w:sz="0" w:space="0" w:color="auto"/>
      </w:divBdr>
      <w:divsChild>
        <w:div w:id="848712789">
          <w:marLeft w:val="0"/>
          <w:marRight w:val="0"/>
          <w:marTop w:val="0"/>
          <w:marBottom w:val="0"/>
          <w:divBdr>
            <w:top w:val="none" w:sz="0" w:space="0" w:color="auto"/>
            <w:left w:val="none" w:sz="0" w:space="0" w:color="auto"/>
            <w:bottom w:val="none" w:sz="0" w:space="0" w:color="auto"/>
            <w:right w:val="none" w:sz="0" w:space="0" w:color="auto"/>
          </w:divBdr>
          <w:divsChild>
            <w:div w:id="1675960347">
              <w:marLeft w:val="0"/>
              <w:marRight w:val="0"/>
              <w:marTop w:val="0"/>
              <w:marBottom w:val="0"/>
              <w:divBdr>
                <w:top w:val="single" w:sz="24" w:space="8" w:color="486BAD"/>
                <w:left w:val="single" w:sz="24" w:space="8" w:color="486BAD"/>
                <w:bottom w:val="single" w:sz="24" w:space="0" w:color="486BAD"/>
                <w:right w:val="single" w:sz="24" w:space="8" w:color="486BAD"/>
              </w:divBdr>
              <w:divsChild>
                <w:div w:id="234585399">
                  <w:marLeft w:val="1"/>
                  <w:marRight w:val="1"/>
                  <w:marTop w:val="0"/>
                  <w:marBottom w:val="750"/>
                  <w:divBdr>
                    <w:top w:val="none" w:sz="0" w:space="0" w:color="auto"/>
                    <w:left w:val="none" w:sz="0" w:space="0" w:color="auto"/>
                    <w:bottom w:val="none" w:sz="0" w:space="0" w:color="auto"/>
                    <w:right w:val="none" w:sz="0" w:space="0" w:color="auto"/>
                  </w:divBdr>
                  <w:divsChild>
                    <w:div w:id="12497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Прокопышина Елена Анатольевна</dc:creator>
  <cp:lastModifiedBy>Прокопышина Елена Анатольевна</cp:lastModifiedBy>
  <cp:revision>1</cp:revision>
  <dcterms:created xsi:type="dcterms:W3CDTF">2019-02-05T07:06:00Z</dcterms:created>
  <dcterms:modified xsi:type="dcterms:W3CDTF">2019-02-05T07:11:00Z</dcterms:modified>
</cp:coreProperties>
</file>