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DC" w:rsidRPr="00E47ADC" w:rsidRDefault="00E47ADC" w:rsidP="00E47ADC">
      <w:pPr>
        <w:spacing w:after="0" w:line="240" w:lineRule="auto"/>
        <w:outlineLvl w:val="0"/>
        <w:rPr>
          <w:rFonts w:ascii="Times New Roman" w:eastAsia="Times New Roman" w:hAnsi="Times New Roman" w:cs="Times New Roman"/>
          <w:b/>
          <w:bCs/>
          <w:color w:val="0070C0"/>
          <w:kern w:val="36"/>
          <w:sz w:val="16"/>
          <w:szCs w:val="16"/>
          <w:lang w:eastAsia="ru-RU"/>
        </w:rPr>
      </w:pPr>
      <w:bookmarkStart w:id="0" w:name="_GoBack"/>
      <w:bookmarkEnd w:id="0"/>
      <w:r w:rsidRPr="00E47ADC">
        <w:rPr>
          <w:rFonts w:ascii="Times New Roman" w:eastAsia="Times New Roman" w:hAnsi="Times New Roman" w:cs="Times New Roman"/>
          <w:b/>
          <w:bCs/>
          <w:color w:val="0070C0"/>
          <w:kern w:val="36"/>
          <w:sz w:val="16"/>
          <w:szCs w:val="16"/>
          <w:lang w:eastAsia="ru-RU"/>
        </w:rPr>
        <w:t>Опубликовано на сайте ГК «АСВ» 23.11.2017</w:t>
      </w:r>
    </w:p>
    <w:p w:rsidR="00E47ADC" w:rsidRDefault="00E47ADC" w:rsidP="00E47ADC">
      <w:pPr>
        <w:spacing w:after="0" w:line="240" w:lineRule="auto"/>
        <w:jc w:val="center"/>
        <w:outlineLvl w:val="0"/>
        <w:rPr>
          <w:rFonts w:ascii="Times New Roman" w:eastAsia="Times New Roman" w:hAnsi="Times New Roman" w:cs="Times New Roman"/>
          <w:b/>
          <w:bCs/>
          <w:color w:val="000000"/>
          <w:kern w:val="36"/>
          <w:sz w:val="28"/>
          <w:szCs w:val="28"/>
          <w:lang w:eastAsia="ru-RU"/>
        </w:rPr>
      </w:pPr>
    </w:p>
    <w:p w:rsidR="00E47ADC" w:rsidRDefault="00E47ADC" w:rsidP="00E47ADC">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E47ADC">
        <w:rPr>
          <w:rFonts w:ascii="Times New Roman" w:eastAsia="Times New Roman" w:hAnsi="Times New Roman" w:cs="Times New Roman"/>
          <w:b/>
          <w:bCs/>
          <w:color w:val="000000"/>
          <w:kern w:val="36"/>
          <w:sz w:val="28"/>
          <w:szCs w:val="28"/>
          <w:lang w:eastAsia="ru-RU"/>
        </w:rPr>
        <w:t>Сведения о</w:t>
      </w:r>
      <w:r w:rsidR="00E07F11" w:rsidRPr="00E07F11">
        <w:rPr>
          <w:rFonts w:ascii="Times New Roman" w:eastAsia="Times New Roman" w:hAnsi="Times New Roman" w:cs="Times New Roman"/>
          <w:b/>
          <w:bCs/>
          <w:color w:val="000000"/>
          <w:kern w:val="36"/>
          <w:sz w:val="28"/>
          <w:szCs w:val="28"/>
          <w:lang w:eastAsia="ru-RU"/>
        </w:rPr>
        <w:t xml:space="preserve"> ходе конкурсного производства</w:t>
      </w:r>
      <w:r w:rsidRPr="00E47ADC">
        <w:rPr>
          <w:rFonts w:ascii="Times New Roman" w:eastAsia="Times New Roman" w:hAnsi="Times New Roman" w:cs="Times New Roman"/>
          <w:b/>
          <w:bCs/>
          <w:color w:val="000000"/>
          <w:kern w:val="36"/>
          <w:sz w:val="28"/>
          <w:szCs w:val="28"/>
          <w:lang w:eastAsia="ru-RU"/>
        </w:rPr>
        <w:t xml:space="preserve"> в отношении </w:t>
      </w:r>
    </w:p>
    <w:p w:rsidR="00E07F11" w:rsidRPr="00E07F11" w:rsidRDefault="00E47ADC" w:rsidP="00E47ADC">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E07F11">
        <w:rPr>
          <w:rFonts w:ascii="Times New Roman" w:eastAsia="Times New Roman" w:hAnsi="Times New Roman" w:cs="Times New Roman"/>
          <w:b/>
          <w:color w:val="000000"/>
          <w:sz w:val="28"/>
          <w:szCs w:val="28"/>
          <w:lang w:eastAsia="ru-RU"/>
        </w:rPr>
        <w:t>ООО «ТАТАГРОПРОМБАНК»</w:t>
      </w:r>
    </w:p>
    <w:p w:rsidR="00E07F11" w:rsidRPr="00E07F11" w:rsidRDefault="00E07F11" w:rsidP="00E47ADC">
      <w:pPr>
        <w:spacing w:after="0" w:line="240" w:lineRule="auto"/>
        <w:jc w:val="both"/>
        <w:rPr>
          <w:rFonts w:ascii="Times New Roman" w:eastAsia="Times New Roman" w:hAnsi="Times New Roman" w:cs="Times New Roman"/>
          <w:color w:val="666666"/>
          <w:sz w:val="26"/>
          <w:szCs w:val="26"/>
          <w:lang w:eastAsia="ru-RU"/>
        </w:rPr>
      </w:pP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Решением Арбитражного суда Республики Татарстан от 23 мая 2017 г. (резолютивная часть объявлена 22 мая 2017 г.) по делу № А65-8850/2017 Общество с ограниченной ответственностью ОБЩЕСТВО С ОГРАНИЧЕННОЙ ОТВЕТСТВЕННОСТЬЮ «ТАТАРСТАНСКИЙ АГРАРНО-ПРОМЫШЛЕННЫЙ БАНК» (ООО «ТАТАГРОПРОМБАНК», далее – Банк, ОГРН 1021600002500, ИНН 1627000724, зарегистрированный по адресу: 420097, Республика Татарстан, г. Казань, ул. Зинина, д. 4) признан несостоятельным (банкротом) и в отношении него открыто конкурсное производство сроком на один год. Функции конкурсного управляющего возложены на государственную корпорацию «Агентство по страхованию вкладов» (далее – Агентство), расположенную по адресу: 109240, г. Москва, ул. Высоцкого, д. 4. Судебное заседание по рассмотрению отчета конкурсного управляющего назначено на 21 мая 2018 г.</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Адрес для направления почтовой корреспонденции, в том числе требований кредиторов: 420097, Республика Татарстан, г. Казань, ул. Зинина, д. 4. Также требования кредиторов можно направить по адресу: 127055, г. Москва, ул. Лесная, д. 59, стр. 2.</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В соответствии с требованиями Федерального закона от 26 октября 2002 г. № 127-ФЗ «О несостоятельности (банкротстве)» (далее – Федеральный закон) Агентство публикует сведения о ходе конкурсного производства в отношении Банка. Последняя информация о ходе конкурсного производства размещена 21 июня 2017 г. на сайте Агентства и в Едином федеральном реестре сведений о банкротстве (далее – ЕФРСБ).</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В период с 15 ноября 2017 г. по 14 февраля 2018 г. конкурным управляющим осуществляются расчеты с кредиторами первой очереди, требования которых включены в реестр требований кредиторов Банка, в размере 7,77 % суммы установленных требований указанных кредиторов.</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За период с 22 мая по 31 октября 2017 г. списание и реализация имущества Банка не проводились.</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Конкурсным управляющим Банком 22 августа 2017 г. завершена инвентаризация имущества Банка по состоянию на дату открытия конкурсного производства (22 мая 2017 г.), итоги которой в соответствии с п. 2 ст. 129 Федерального закона 25 августа 2017 г. размещены в ЕФРСБ и на сайте Агентства. По результатам инвентаризации выявлено имущество Банка в количестве 2 401 единиц (мебель, банковское оборудование, оргтехника), неучтенное на балансовых счетах Банка.</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В соответствии с требованиями ст. 139 Федерального закона конкурсным управляющим привлечен оценщик для определения стоимости имущества Банка (недвижимое имущество, транспортные средства, доля в уставном капитале организации). Оценка имущества Банка завершена 30 октября 2017 г., по ее результатам рыночная стоимость имущества, предлагаемого к оценке, составила 193 922 тыс. руб. Итоги оценки в соответствии с п. 1 ст. 139 Федерального закона размещены в ЕФРСБ и на сайте Агентства 1 ноября 2017 г.</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Информация о проведении торгов указанным имуществом Банка, а также правами требования к должникам Банка, будет размещена в ЕФРСБ и на сайте Агентства в порядке ст. 110 Федерального закона.</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lastRenderedPageBreak/>
        <w:t>Конкурсным управляющим проводится работа по взысканию ссудной задолженности с должников Банка в претензионном и судебном порядке.</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По состоянию на 1 ноября 2017 г. в суды подано 87 исковых заявлений на общую сумму 708 868 тыс. руб. (с учетом исков, предъявленных до даты открытия конкурсного производства), из которых удовлетворено 71 исковое заявление на общую сумму 88 589 тыс. руб. Отказано в удовлетворении или прекращено производство по 3 исковым заявлениям. Остальные иски находятся на рассмотрении в суде. На основании вступивших в законную силу судебных актов возбуждено 75 исполнительных производств на сумму 48 072 тыс. руб., из которых 16 на общую сумму 9 539 тыс. руб. окончены в связи с невозможностью взыскания.</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С целью выявления сделок, отвечающих в соответствии Федеральным законом признакам недействительности, совершенных Банком в преддверии банкротства, в настоящее время конкурсным управляющим проводится анализ заключенных договоров банковского счета, депозитных, кредитных договоров и договоров купли-продажи, уступки права требования на предмет их соответствия требованиям закона, а также коммерческой целесообразности.</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21 июля 2017 г. Банком России в СК России и МВД России направлено заявление по ст. 159, 160, 165, 201, 195 и 196 УК РФ по фактам хищения имущества Банка под видом выдачи кредитов юридическим лицам и возможного преднамеренного банкротства Банка.</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Заявление Банка России, направленное в СК России, приобщено к материалам уголовного дела, возбужденного в отношении бывшего председателя правления ПАО «Татфондбанк» по ч. 4 ст. 159 УК РФ по фактам хищения имущества Банка России и ПАО «Татфондбанк».</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22 марта 2016 г. СУ УМВД России по г. Набережные Челны в отношении руководителя дополнительного офиса № 55 Банка возбуждено уголовное дело по ч. 4 ст. 159 УК РФ по факту хищения наличных денежных средств Банка. Уголовное дело направлено в Набережночелнинский городской суд Республики Татарстан для рассмотрения по существу.</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21 сентября 2017 г. приговором Набережночелнинского городского суда Республики Татарстан руководитель дополнительного офиса № 55 Банка признана виновной в совершении преступления, предусмотренного ч. 4 ст. 159 УК РФ, и ей назначено наказание в виде лишения свободы сроком на 3 года условно. Приговором удовлетворен гражданский иск Банка к осужденной.</w:t>
      </w:r>
    </w:p>
    <w:p w:rsidR="00E07F11" w:rsidRP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Конкурсным управляющим планируется проведение проверки обстоятельств банкротства Банка, по результатам которой, в случае обнаружения соответствующих обстоятельств, будет составлено заключение о наличии либо отсутствии признаков преднамеренного банкротства, а также приняты меры по привлечению к гражданско-правовой и/или уголовной ответственности лиц, виновных в банкротстве Банка.</w:t>
      </w:r>
    </w:p>
    <w:p w:rsidR="00E07F11" w:rsidRDefault="00E07F11" w:rsidP="00E47ADC">
      <w:pPr>
        <w:spacing w:after="0" w:line="240" w:lineRule="auto"/>
        <w:ind w:firstLine="709"/>
        <w:jc w:val="both"/>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color w:val="000000"/>
          <w:sz w:val="26"/>
          <w:szCs w:val="26"/>
          <w:lang w:eastAsia="ru-RU"/>
        </w:rPr>
        <w:t>В соответствии с требованиями Федерального закона Агентство публикует сведения о стоимости нереализованного имущества Банка и об исполнении сметы текущих расходов.</w:t>
      </w:r>
    </w:p>
    <w:p w:rsidR="00E47ADC" w:rsidRPr="00E07F11" w:rsidRDefault="00E47ADC" w:rsidP="00E47ADC">
      <w:pPr>
        <w:spacing w:after="0" w:line="240" w:lineRule="auto"/>
        <w:ind w:firstLine="709"/>
        <w:jc w:val="both"/>
        <w:rPr>
          <w:rFonts w:ascii="Times New Roman" w:eastAsia="Times New Roman" w:hAnsi="Times New Roman" w:cs="Times New Roman"/>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47ADC" w:rsidP="00E47ADC">
      <w:pPr>
        <w:spacing w:after="0" w:line="240" w:lineRule="auto"/>
        <w:jc w:val="center"/>
        <w:rPr>
          <w:rFonts w:ascii="Times New Roman" w:eastAsia="Times New Roman" w:hAnsi="Times New Roman" w:cs="Times New Roman"/>
          <w:b/>
          <w:bCs/>
          <w:color w:val="000000"/>
          <w:sz w:val="26"/>
          <w:szCs w:val="26"/>
          <w:lang w:eastAsia="ru-RU"/>
        </w:rPr>
      </w:pPr>
    </w:p>
    <w:p w:rsidR="00E47ADC" w:rsidRDefault="00E07F11" w:rsidP="00E47ADC">
      <w:pPr>
        <w:spacing w:after="0" w:line="240" w:lineRule="auto"/>
        <w:jc w:val="center"/>
        <w:rPr>
          <w:rFonts w:ascii="Times New Roman" w:eastAsia="Times New Roman" w:hAnsi="Times New Roman" w:cs="Times New Roman"/>
          <w:b/>
          <w:bCs/>
          <w:color w:val="000000"/>
          <w:sz w:val="26"/>
          <w:szCs w:val="26"/>
          <w:lang w:eastAsia="ru-RU"/>
        </w:rPr>
      </w:pPr>
      <w:r w:rsidRPr="00E07F11">
        <w:rPr>
          <w:rFonts w:ascii="Times New Roman" w:eastAsia="Times New Roman" w:hAnsi="Times New Roman" w:cs="Times New Roman"/>
          <w:b/>
          <w:bCs/>
          <w:color w:val="000000"/>
          <w:sz w:val="26"/>
          <w:szCs w:val="26"/>
          <w:lang w:eastAsia="ru-RU"/>
        </w:rPr>
        <w:t xml:space="preserve">Отчет об исполнении сметы расходов (затрат) на проведение </w:t>
      </w:r>
    </w:p>
    <w:p w:rsidR="00E47ADC" w:rsidRDefault="00E07F11" w:rsidP="00E47ADC">
      <w:pPr>
        <w:spacing w:after="0" w:line="240" w:lineRule="auto"/>
        <w:jc w:val="center"/>
        <w:rPr>
          <w:rFonts w:ascii="Times New Roman" w:eastAsia="Times New Roman" w:hAnsi="Times New Roman" w:cs="Times New Roman"/>
          <w:b/>
          <w:bCs/>
          <w:color w:val="000000"/>
          <w:sz w:val="26"/>
          <w:szCs w:val="26"/>
          <w:lang w:eastAsia="ru-RU"/>
        </w:rPr>
      </w:pPr>
      <w:r w:rsidRPr="00E07F11">
        <w:rPr>
          <w:rFonts w:ascii="Times New Roman" w:eastAsia="Times New Roman" w:hAnsi="Times New Roman" w:cs="Times New Roman"/>
          <w:b/>
          <w:bCs/>
          <w:color w:val="000000"/>
          <w:sz w:val="26"/>
          <w:szCs w:val="26"/>
          <w:lang w:eastAsia="ru-RU"/>
        </w:rPr>
        <w:t xml:space="preserve">конкурсного производства в отношении ООО «ТАТАГРОПРОМБАНК» </w:t>
      </w:r>
    </w:p>
    <w:p w:rsidR="00E07F11" w:rsidRPr="00E07F11" w:rsidRDefault="00E07F11" w:rsidP="00E47ADC">
      <w:pPr>
        <w:spacing w:after="0" w:line="240" w:lineRule="auto"/>
        <w:jc w:val="center"/>
        <w:rPr>
          <w:rFonts w:ascii="Times New Roman" w:eastAsia="Times New Roman" w:hAnsi="Times New Roman" w:cs="Times New Roman"/>
          <w:color w:val="000000"/>
          <w:sz w:val="26"/>
          <w:szCs w:val="26"/>
          <w:lang w:eastAsia="ru-RU"/>
        </w:rPr>
      </w:pPr>
      <w:r w:rsidRPr="00E07F11">
        <w:rPr>
          <w:rFonts w:ascii="Times New Roman" w:eastAsia="Times New Roman" w:hAnsi="Times New Roman" w:cs="Times New Roman"/>
          <w:b/>
          <w:bCs/>
          <w:color w:val="000000"/>
          <w:sz w:val="26"/>
          <w:szCs w:val="26"/>
          <w:lang w:eastAsia="ru-RU"/>
        </w:rPr>
        <w:t xml:space="preserve">за период с 22 мая по 31 октября 2017 г. </w:t>
      </w:r>
    </w:p>
    <w:p w:rsidR="00E07F11" w:rsidRPr="00E07F11" w:rsidRDefault="00E07F11" w:rsidP="00E47ADC">
      <w:pPr>
        <w:spacing w:after="0" w:line="240" w:lineRule="auto"/>
        <w:jc w:val="right"/>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93"/>
        <w:gridCol w:w="4595"/>
        <w:gridCol w:w="1178"/>
        <w:gridCol w:w="1178"/>
        <w:gridCol w:w="1971"/>
      </w:tblGrid>
      <w:tr w:rsidR="00E47ADC" w:rsidRPr="00E07F11" w:rsidTr="00E47ADC">
        <w:trPr>
          <w:tblCellSpacing w:w="20" w:type="dxa"/>
        </w:trPr>
        <w:tc>
          <w:tcPr>
            <w:tcW w:w="329"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 п/п</w:t>
            </w:r>
          </w:p>
        </w:tc>
        <w:tc>
          <w:tcPr>
            <w:tcW w:w="2368"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Перечень расходов и затрат</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План</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Факт</w:t>
            </w:r>
          </w:p>
        </w:tc>
        <w:tc>
          <w:tcPr>
            <w:tcW w:w="994"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Экономия (+) / перерасход (-)</w:t>
            </w:r>
          </w:p>
        </w:tc>
      </w:tr>
      <w:tr w:rsidR="00E47ADC" w:rsidRPr="00E07F11" w:rsidTr="00E47ADC">
        <w:trPr>
          <w:tblCellSpacing w:w="20" w:type="dxa"/>
        </w:trPr>
        <w:tc>
          <w:tcPr>
            <w:tcW w:w="329"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1</w:t>
            </w:r>
          </w:p>
        </w:tc>
        <w:tc>
          <w:tcPr>
            <w:tcW w:w="2368" w:type="pct"/>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Административно-хозяйственные расходы</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20 399</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10 751</w:t>
            </w:r>
          </w:p>
        </w:tc>
        <w:tc>
          <w:tcPr>
            <w:tcW w:w="994"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+9 648</w:t>
            </w:r>
          </w:p>
        </w:tc>
      </w:tr>
      <w:tr w:rsidR="00E47ADC" w:rsidRPr="00E07F11" w:rsidTr="00E47ADC">
        <w:trPr>
          <w:tblCellSpacing w:w="20" w:type="dxa"/>
        </w:trPr>
        <w:tc>
          <w:tcPr>
            <w:tcW w:w="329"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2</w:t>
            </w:r>
          </w:p>
        </w:tc>
        <w:tc>
          <w:tcPr>
            <w:tcW w:w="2368" w:type="pct"/>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Расходы на содержание аппарата</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38 105</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25 058</w:t>
            </w:r>
          </w:p>
        </w:tc>
        <w:tc>
          <w:tcPr>
            <w:tcW w:w="994"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+13 047</w:t>
            </w:r>
          </w:p>
        </w:tc>
      </w:tr>
      <w:tr w:rsidR="00E47ADC" w:rsidRPr="00E07F11" w:rsidTr="00E47ADC">
        <w:trPr>
          <w:tblCellSpacing w:w="20" w:type="dxa"/>
        </w:trPr>
        <w:tc>
          <w:tcPr>
            <w:tcW w:w="329"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p>
        </w:tc>
        <w:tc>
          <w:tcPr>
            <w:tcW w:w="2368" w:type="pct"/>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Итого</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58 504</w:t>
            </w:r>
          </w:p>
        </w:tc>
        <w:tc>
          <w:tcPr>
            <w:tcW w:w="592"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35 809</w:t>
            </w:r>
          </w:p>
        </w:tc>
        <w:tc>
          <w:tcPr>
            <w:tcW w:w="994" w:type="pc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+22 695*</w:t>
            </w:r>
          </w:p>
        </w:tc>
      </w:tr>
    </w:tbl>
    <w:p w:rsidR="00E07F11" w:rsidRPr="00E07F11" w:rsidRDefault="00E07F11" w:rsidP="00E47ADC">
      <w:pPr>
        <w:spacing w:after="0" w:line="240" w:lineRule="auto"/>
        <w:jc w:val="both"/>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Примечание: сведения представляются нарастающим итогом с даты начала конкурсного производства по отчетную дату.</w:t>
      </w:r>
    </w:p>
    <w:p w:rsidR="00E07F11" w:rsidRPr="00E07F11" w:rsidRDefault="00E07F11" w:rsidP="00E47ADC">
      <w:pPr>
        <w:spacing w:after="0" w:line="240" w:lineRule="auto"/>
        <w:jc w:val="both"/>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*Экономия обусловлена переносом планируемых расходов, непроизведенных в период действия смет, в сметы следующего квартала, по причине несвоевременного предоставления контрагентами первичных документов, подтверждающих факт оказания услуг и несвоевременного обращения уволенных работников за пособиями, предусмотренными законодательством.</w:t>
      </w:r>
    </w:p>
    <w:p w:rsidR="00E47ADC" w:rsidRDefault="00E47ADC" w:rsidP="00E47ADC">
      <w:pPr>
        <w:spacing w:after="0" w:line="240" w:lineRule="auto"/>
        <w:jc w:val="both"/>
        <w:rPr>
          <w:rFonts w:ascii="Times New Roman" w:eastAsia="Times New Roman" w:hAnsi="Times New Roman" w:cs="Times New Roman"/>
          <w:b/>
          <w:bCs/>
          <w:color w:val="000000"/>
          <w:sz w:val="26"/>
          <w:szCs w:val="26"/>
          <w:lang w:eastAsia="ru-RU"/>
        </w:rPr>
      </w:pPr>
    </w:p>
    <w:p w:rsidR="00E47ADC" w:rsidRDefault="00E07F11" w:rsidP="00E47ADC">
      <w:pPr>
        <w:spacing w:after="0" w:line="240" w:lineRule="auto"/>
        <w:jc w:val="center"/>
        <w:rPr>
          <w:rFonts w:ascii="Times New Roman" w:eastAsia="Times New Roman" w:hAnsi="Times New Roman" w:cs="Times New Roman"/>
          <w:b/>
          <w:bCs/>
          <w:color w:val="000000"/>
          <w:sz w:val="26"/>
          <w:szCs w:val="26"/>
          <w:lang w:eastAsia="ru-RU"/>
        </w:rPr>
      </w:pPr>
      <w:r w:rsidRPr="00E07F11">
        <w:rPr>
          <w:rFonts w:ascii="Times New Roman" w:eastAsia="Times New Roman" w:hAnsi="Times New Roman" w:cs="Times New Roman"/>
          <w:b/>
          <w:bCs/>
          <w:color w:val="000000"/>
          <w:sz w:val="26"/>
          <w:szCs w:val="26"/>
          <w:lang w:eastAsia="ru-RU"/>
        </w:rPr>
        <w:t xml:space="preserve">Сведения о стоимости нереализованного имущества </w:t>
      </w:r>
    </w:p>
    <w:p w:rsidR="00E47ADC" w:rsidRDefault="00E07F11" w:rsidP="00E47ADC">
      <w:pPr>
        <w:spacing w:after="0" w:line="240" w:lineRule="auto"/>
        <w:jc w:val="center"/>
        <w:rPr>
          <w:rFonts w:ascii="Times New Roman" w:eastAsia="Times New Roman" w:hAnsi="Times New Roman" w:cs="Times New Roman"/>
          <w:b/>
          <w:bCs/>
          <w:color w:val="000000"/>
          <w:sz w:val="26"/>
          <w:szCs w:val="26"/>
          <w:lang w:eastAsia="ru-RU"/>
        </w:rPr>
      </w:pPr>
      <w:r w:rsidRPr="00E07F11">
        <w:rPr>
          <w:rFonts w:ascii="Times New Roman" w:eastAsia="Times New Roman" w:hAnsi="Times New Roman" w:cs="Times New Roman"/>
          <w:b/>
          <w:bCs/>
          <w:color w:val="000000"/>
          <w:sz w:val="26"/>
          <w:szCs w:val="26"/>
          <w:lang w:eastAsia="ru-RU"/>
        </w:rPr>
        <w:t>ООО «ТАТАГРОПРОМБАНК»</w:t>
      </w:r>
      <w:r w:rsidR="00E47ADC">
        <w:rPr>
          <w:rFonts w:ascii="Times New Roman" w:eastAsia="Times New Roman" w:hAnsi="Times New Roman" w:cs="Times New Roman"/>
          <w:b/>
          <w:bCs/>
          <w:color w:val="000000"/>
          <w:sz w:val="26"/>
          <w:szCs w:val="26"/>
          <w:lang w:eastAsia="ru-RU"/>
        </w:rPr>
        <w:t xml:space="preserve"> </w:t>
      </w:r>
      <w:r w:rsidRPr="00E07F11">
        <w:rPr>
          <w:rFonts w:ascii="Times New Roman" w:eastAsia="Times New Roman" w:hAnsi="Times New Roman" w:cs="Times New Roman"/>
          <w:b/>
          <w:bCs/>
          <w:color w:val="000000"/>
          <w:sz w:val="26"/>
          <w:szCs w:val="26"/>
          <w:lang w:eastAsia="ru-RU"/>
        </w:rPr>
        <w:t xml:space="preserve">по состоянию на 1 ноября 2017 г. </w:t>
      </w:r>
    </w:p>
    <w:p w:rsidR="00E07F11" w:rsidRPr="00E07F11" w:rsidRDefault="00E07F11" w:rsidP="00E47ADC">
      <w:pPr>
        <w:spacing w:after="0" w:line="240" w:lineRule="auto"/>
        <w:jc w:val="right"/>
        <w:rPr>
          <w:rFonts w:ascii="Times New Roman" w:eastAsia="Times New Roman" w:hAnsi="Times New Roman" w:cs="Times New Roman"/>
          <w:color w:val="000000"/>
          <w:lang w:eastAsia="ru-RU"/>
        </w:rPr>
      </w:pPr>
      <w:r w:rsidRPr="00E07F11">
        <w:rPr>
          <w:rFonts w:ascii="Times New Roman" w:eastAsia="Times New Roman" w:hAnsi="Times New Roman" w:cs="Times New Roman"/>
          <w:bCs/>
          <w:color w:val="000000"/>
          <w:lang w:eastAsia="ru-RU"/>
        </w:rPr>
        <w:t>тыс. руб.</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10"/>
        <w:gridCol w:w="4910"/>
        <w:gridCol w:w="1997"/>
        <w:gridCol w:w="1998"/>
      </w:tblGrid>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 п/п</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Наименование имущества (дебитора)</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Балансовая стоимость</w:t>
            </w:r>
          </w:p>
        </w:tc>
        <w:tc>
          <w:tcPr>
            <w:tcW w:w="1938"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Оценочная стоимость</w:t>
            </w: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1</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Доля участия в УК организации (ООО «ТАПБ Инвестиции»)</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18 142</w:t>
            </w:r>
          </w:p>
        </w:tc>
        <w:tc>
          <w:tcPr>
            <w:tcW w:w="1938"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4 110</w:t>
            </w: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2</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Кредиты предприятиям и организациям</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547 989</w:t>
            </w:r>
          </w:p>
        </w:tc>
        <w:tc>
          <w:tcPr>
            <w:tcW w:w="1938" w:type="dxa"/>
            <w:vMerge w:val="restart"/>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Оценка не проводилась</w:t>
            </w: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3</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Кредиты физическим лицам</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84 281</w:t>
            </w:r>
          </w:p>
        </w:tc>
        <w:tc>
          <w:tcPr>
            <w:tcW w:w="1938" w:type="dxa"/>
            <w:vMerge/>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4</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Кредиты банкам</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847 768</w:t>
            </w:r>
          </w:p>
        </w:tc>
        <w:tc>
          <w:tcPr>
            <w:tcW w:w="1938" w:type="dxa"/>
            <w:vMerge/>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5</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Основные средства и хозяйственные затраты (за исключением амортизации)</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315 589</w:t>
            </w:r>
          </w:p>
        </w:tc>
        <w:tc>
          <w:tcPr>
            <w:tcW w:w="1938"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189 822*</w:t>
            </w: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6</w:t>
            </w:r>
          </w:p>
        </w:tc>
        <w:tc>
          <w:tcPr>
            <w:tcW w:w="0" w:type="auto"/>
            <w:tcMar>
              <w:top w:w="75" w:type="dxa"/>
              <w:left w:w="75" w:type="dxa"/>
              <w:bottom w:w="75" w:type="dxa"/>
              <w:right w:w="75" w:type="dxa"/>
            </w:tcMar>
            <w:vAlign w:val="center"/>
            <w:hideMark/>
          </w:tcPr>
          <w:p w:rsidR="00E07F11" w:rsidRPr="00E07F11" w:rsidRDefault="00E07F11" w:rsidP="00E47ADC">
            <w:pPr>
              <w:spacing w:after="0" w:line="240" w:lineRule="auto"/>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Прочие активы</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532 574**</w:t>
            </w:r>
          </w:p>
        </w:tc>
        <w:tc>
          <w:tcPr>
            <w:tcW w:w="1938"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Оценка не проводилась</w:t>
            </w:r>
          </w:p>
        </w:tc>
      </w:tr>
      <w:tr w:rsidR="00E07F11" w:rsidRPr="00E07F11" w:rsidTr="00E47ADC">
        <w:trPr>
          <w:tblCellSpacing w:w="20" w:type="dxa"/>
        </w:trPr>
        <w:tc>
          <w:tcPr>
            <w:tcW w:w="0" w:type="auto"/>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color w:val="000000"/>
                <w:lang w:eastAsia="ru-RU"/>
              </w:rPr>
            </w:pPr>
          </w:p>
        </w:tc>
        <w:tc>
          <w:tcPr>
            <w:tcW w:w="0" w:type="auto"/>
            <w:tcMar>
              <w:top w:w="75" w:type="dxa"/>
              <w:left w:w="75" w:type="dxa"/>
              <w:bottom w:w="75" w:type="dxa"/>
              <w:right w:w="75" w:type="dxa"/>
            </w:tcMar>
            <w:vAlign w:val="center"/>
            <w:hideMark/>
          </w:tcPr>
          <w:p w:rsidR="00E07F11" w:rsidRPr="00E07F11" w:rsidRDefault="00E47ADC" w:rsidP="00E47ADC">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Итого</w:t>
            </w:r>
          </w:p>
        </w:tc>
        <w:tc>
          <w:tcPr>
            <w:tcW w:w="1957"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2 346 343</w:t>
            </w:r>
          </w:p>
        </w:tc>
        <w:tc>
          <w:tcPr>
            <w:tcW w:w="1938" w:type="dxa"/>
            <w:tcMar>
              <w:top w:w="75" w:type="dxa"/>
              <w:left w:w="75" w:type="dxa"/>
              <w:bottom w:w="75" w:type="dxa"/>
              <w:right w:w="75" w:type="dxa"/>
            </w:tcMar>
            <w:vAlign w:val="center"/>
            <w:hideMark/>
          </w:tcPr>
          <w:p w:rsidR="00E07F11" w:rsidRPr="00E07F11" w:rsidRDefault="00E07F11" w:rsidP="00E47ADC">
            <w:pPr>
              <w:spacing w:after="0" w:line="240" w:lineRule="auto"/>
              <w:jc w:val="center"/>
              <w:rPr>
                <w:rFonts w:ascii="Times New Roman" w:eastAsia="Times New Roman" w:hAnsi="Times New Roman" w:cs="Times New Roman"/>
                <w:b/>
                <w:color w:val="000000"/>
                <w:lang w:eastAsia="ru-RU"/>
              </w:rPr>
            </w:pPr>
            <w:r w:rsidRPr="00E07F11">
              <w:rPr>
                <w:rFonts w:ascii="Times New Roman" w:eastAsia="Times New Roman" w:hAnsi="Times New Roman" w:cs="Times New Roman"/>
                <w:b/>
                <w:color w:val="000000"/>
                <w:lang w:eastAsia="ru-RU"/>
              </w:rPr>
              <w:t>193 932</w:t>
            </w:r>
          </w:p>
        </w:tc>
      </w:tr>
    </w:tbl>
    <w:p w:rsidR="00E07F11" w:rsidRPr="00E07F11" w:rsidRDefault="00E07F11" w:rsidP="00E47ADC">
      <w:pPr>
        <w:spacing w:after="0" w:line="240" w:lineRule="auto"/>
        <w:jc w:val="both"/>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*проведена оценка недвижимого имущества, земельных участков, автотранспорта и доли в уставном капитале организации, которая завершена 30 октября 2017 г.</w:t>
      </w:r>
    </w:p>
    <w:p w:rsidR="00E07F11" w:rsidRPr="00E07F11" w:rsidRDefault="00E07F11" w:rsidP="00E47ADC">
      <w:pPr>
        <w:spacing w:after="0" w:line="240" w:lineRule="auto"/>
        <w:jc w:val="both"/>
        <w:rPr>
          <w:rFonts w:ascii="Times New Roman" w:eastAsia="Times New Roman" w:hAnsi="Times New Roman" w:cs="Times New Roman"/>
          <w:color w:val="000000"/>
          <w:lang w:eastAsia="ru-RU"/>
        </w:rPr>
      </w:pPr>
      <w:r w:rsidRPr="00E07F11">
        <w:rPr>
          <w:rFonts w:ascii="Times New Roman" w:eastAsia="Times New Roman" w:hAnsi="Times New Roman" w:cs="Times New Roman"/>
          <w:color w:val="000000"/>
          <w:lang w:eastAsia="ru-RU"/>
        </w:rPr>
        <w:t>**в том числе требования к ПАО «Тимер Банк» по корреспондентскому счету 302 750 тыс. руб., требования к ПАО «ТАТФОНДБАНК» по закрытым корреспондентским счетам 223 946 тыс. руб.</w:t>
      </w:r>
    </w:p>
    <w:p w:rsidR="00D15D8A" w:rsidRPr="00E47ADC" w:rsidRDefault="00D15D8A" w:rsidP="00E47ADC">
      <w:pPr>
        <w:spacing w:after="0" w:line="240" w:lineRule="auto"/>
        <w:rPr>
          <w:rFonts w:ascii="Times New Roman" w:hAnsi="Times New Roman" w:cs="Times New Roman"/>
        </w:rPr>
      </w:pPr>
    </w:p>
    <w:sectPr w:rsidR="00D15D8A" w:rsidRPr="00E47ADC" w:rsidSect="00E47ADC">
      <w:footerReference w:type="default" r:id="rId7"/>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1FA" w:rsidRDefault="00E931FA" w:rsidP="00E47ADC">
      <w:pPr>
        <w:spacing w:after="0" w:line="240" w:lineRule="auto"/>
      </w:pPr>
      <w:r>
        <w:separator/>
      </w:r>
    </w:p>
  </w:endnote>
  <w:endnote w:type="continuationSeparator" w:id="0">
    <w:p w:rsidR="00E931FA" w:rsidRDefault="00E931FA" w:rsidP="00E4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950926"/>
      <w:docPartObj>
        <w:docPartGallery w:val="Page Numbers (Bottom of Page)"/>
        <w:docPartUnique/>
      </w:docPartObj>
    </w:sdtPr>
    <w:sdtContent>
      <w:p w:rsidR="00E47ADC" w:rsidRDefault="00E47ADC">
        <w:pPr>
          <w:pStyle w:val="a6"/>
          <w:jc w:val="right"/>
        </w:pPr>
        <w:r>
          <w:fldChar w:fldCharType="begin"/>
        </w:r>
        <w:r>
          <w:instrText>PAGE   \* MERGEFORMAT</w:instrText>
        </w:r>
        <w:r>
          <w:fldChar w:fldCharType="separate"/>
        </w:r>
        <w:r>
          <w:rPr>
            <w:noProof/>
          </w:rPr>
          <w:t>2</w:t>
        </w:r>
        <w:r>
          <w:fldChar w:fldCharType="end"/>
        </w:r>
      </w:p>
    </w:sdtContent>
  </w:sdt>
  <w:p w:rsidR="00E47ADC" w:rsidRDefault="00E47A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1FA" w:rsidRDefault="00E931FA" w:rsidP="00E47ADC">
      <w:pPr>
        <w:spacing w:after="0" w:line="240" w:lineRule="auto"/>
      </w:pPr>
      <w:r>
        <w:separator/>
      </w:r>
    </w:p>
  </w:footnote>
  <w:footnote w:type="continuationSeparator" w:id="0">
    <w:p w:rsidR="00E931FA" w:rsidRDefault="00E931FA" w:rsidP="00E47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11"/>
    <w:rsid w:val="00D15D8A"/>
    <w:rsid w:val="00E07F11"/>
    <w:rsid w:val="00E47ADC"/>
    <w:rsid w:val="00E9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7F11"/>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F11"/>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E07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E07F11"/>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E47A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ADC"/>
  </w:style>
  <w:style w:type="paragraph" w:styleId="a6">
    <w:name w:val="footer"/>
    <w:basedOn w:val="a"/>
    <w:link w:val="a7"/>
    <w:uiPriority w:val="99"/>
    <w:unhideWhenUsed/>
    <w:rsid w:val="00E47A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7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07F11"/>
    <w:pPr>
      <w:spacing w:before="100" w:beforeAutospacing="1" w:after="100" w:afterAutospacing="1" w:line="240" w:lineRule="auto"/>
      <w:outlineLvl w:val="0"/>
    </w:pPr>
    <w:rPr>
      <w:rFonts w:ascii="Times New Roman" w:eastAsia="Times New Roman" w:hAnsi="Times New Roman" w:cs="Times New Roman"/>
      <w:b/>
      <w:bCs/>
      <w:color w:val="000000"/>
      <w:kern w:val="36"/>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F11"/>
    <w:rPr>
      <w:rFonts w:ascii="Times New Roman" w:eastAsia="Times New Roman" w:hAnsi="Times New Roman" w:cs="Times New Roman"/>
      <w:b/>
      <w:bCs/>
      <w:color w:val="000000"/>
      <w:kern w:val="36"/>
      <w:sz w:val="44"/>
      <w:szCs w:val="44"/>
      <w:lang w:eastAsia="ru-RU"/>
    </w:rPr>
  </w:style>
  <w:style w:type="paragraph" w:styleId="a3">
    <w:name w:val="Normal (Web)"/>
    <w:basedOn w:val="a"/>
    <w:uiPriority w:val="99"/>
    <w:semiHidden/>
    <w:unhideWhenUsed/>
    <w:rsid w:val="00E07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ay">
    <w:name w:val="gray"/>
    <w:basedOn w:val="a"/>
    <w:rsid w:val="00E07F11"/>
    <w:pPr>
      <w:spacing w:before="100" w:beforeAutospacing="1" w:after="100" w:afterAutospacing="1" w:line="240" w:lineRule="auto"/>
    </w:pPr>
    <w:rPr>
      <w:rFonts w:ascii="Times New Roman" w:eastAsia="Times New Roman" w:hAnsi="Times New Roman" w:cs="Times New Roman"/>
      <w:color w:val="666666"/>
      <w:sz w:val="24"/>
      <w:szCs w:val="24"/>
      <w:lang w:eastAsia="ru-RU"/>
    </w:rPr>
  </w:style>
  <w:style w:type="paragraph" w:styleId="a4">
    <w:name w:val="header"/>
    <w:basedOn w:val="a"/>
    <w:link w:val="a5"/>
    <w:uiPriority w:val="99"/>
    <w:unhideWhenUsed/>
    <w:rsid w:val="00E47A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47ADC"/>
  </w:style>
  <w:style w:type="paragraph" w:styleId="a6">
    <w:name w:val="footer"/>
    <w:basedOn w:val="a"/>
    <w:link w:val="a7"/>
    <w:uiPriority w:val="99"/>
    <w:unhideWhenUsed/>
    <w:rsid w:val="00E47A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47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494405">
      <w:bodyDiv w:val="1"/>
      <w:marLeft w:val="0"/>
      <w:marRight w:val="0"/>
      <w:marTop w:val="0"/>
      <w:marBottom w:val="0"/>
      <w:divBdr>
        <w:top w:val="none" w:sz="0" w:space="0" w:color="auto"/>
        <w:left w:val="none" w:sz="0" w:space="0" w:color="auto"/>
        <w:bottom w:val="none" w:sz="0" w:space="0" w:color="auto"/>
        <w:right w:val="none" w:sz="0" w:space="0" w:color="auto"/>
      </w:divBdr>
      <w:divsChild>
        <w:div w:id="1581938455">
          <w:marLeft w:val="0"/>
          <w:marRight w:val="0"/>
          <w:marTop w:val="0"/>
          <w:marBottom w:val="0"/>
          <w:divBdr>
            <w:top w:val="none" w:sz="0" w:space="0" w:color="auto"/>
            <w:left w:val="none" w:sz="0" w:space="0" w:color="auto"/>
            <w:bottom w:val="none" w:sz="0" w:space="0" w:color="auto"/>
            <w:right w:val="none" w:sz="0" w:space="0" w:color="auto"/>
          </w:divBdr>
          <w:divsChild>
            <w:div w:id="1233002224">
              <w:marLeft w:val="0"/>
              <w:marRight w:val="0"/>
              <w:marTop w:val="0"/>
              <w:marBottom w:val="0"/>
              <w:divBdr>
                <w:top w:val="single" w:sz="24" w:space="8" w:color="486BAD"/>
                <w:left w:val="single" w:sz="24" w:space="8" w:color="486BAD"/>
                <w:bottom w:val="single" w:sz="24" w:space="0" w:color="486BAD"/>
                <w:right w:val="single" w:sz="24" w:space="8" w:color="486BAD"/>
              </w:divBdr>
              <w:divsChild>
                <w:div w:id="1464225459">
                  <w:marLeft w:val="1"/>
                  <w:marRight w:val="1"/>
                  <w:marTop w:val="0"/>
                  <w:marBottom w:val="750"/>
                  <w:divBdr>
                    <w:top w:val="none" w:sz="0" w:space="0" w:color="auto"/>
                    <w:left w:val="none" w:sz="0" w:space="0" w:color="auto"/>
                    <w:bottom w:val="none" w:sz="0" w:space="0" w:color="auto"/>
                    <w:right w:val="none" w:sz="0" w:space="0" w:color="auto"/>
                  </w:divBdr>
                  <w:divsChild>
                    <w:div w:id="5946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Прокопышина Елена Анатольевна</dc:creator>
  <cp:lastModifiedBy>Прокопышина Елена Анатольевна</cp:lastModifiedBy>
  <cp:revision>1</cp:revision>
  <dcterms:created xsi:type="dcterms:W3CDTF">2017-12-05T09:15:00Z</dcterms:created>
  <dcterms:modified xsi:type="dcterms:W3CDTF">2017-12-05T09:43:00Z</dcterms:modified>
</cp:coreProperties>
</file>