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F2F0" w14:textId="77777777" w:rsidR="008A43CF" w:rsidRPr="0017096D" w:rsidRDefault="008A43CF" w:rsidP="008A43C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17096D">
        <w:rPr>
          <w:b/>
          <w:bCs/>
          <w:color w:val="000000"/>
          <w:lang w:val="ru-RU"/>
        </w:rPr>
        <w:t>ЦЕНТРАЛЬНЫЙ БАНК РОССИЙСКОЙ ФЕДЕРАЦИИ</w:t>
      </w:r>
    </w:p>
    <w:p w14:paraId="747D92F0" w14:textId="77777777" w:rsidR="008A43CF" w:rsidRPr="0017096D" w:rsidRDefault="008A43CF" w:rsidP="008A43C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17096D">
        <w:rPr>
          <w:b/>
          <w:bCs/>
          <w:color w:val="000000"/>
          <w:lang w:val="ru-RU"/>
        </w:rPr>
        <w:t>(БАНК РОССИИ)</w:t>
      </w:r>
    </w:p>
    <w:p w14:paraId="107AF268" w14:textId="77777777" w:rsidR="008A43CF" w:rsidRPr="00895B7F" w:rsidRDefault="008A43CF" w:rsidP="008A43CF">
      <w:pPr>
        <w:pStyle w:val="a4"/>
        <w:tabs>
          <w:tab w:val="left" w:pos="620"/>
          <w:tab w:val="left" w:pos="2426"/>
        </w:tabs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7B244F0" w14:textId="77777777" w:rsidR="008A43CF" w:rsidRPr="00895B7F" w:rsidRDefault="008A43CF" w:rsidP="008A43C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0B9E20" w14:textId="77777777" w:rsidR="008A43CF" w:rsidRPr="00895B7F" w:rsidRDefault="008A43CF" w:rsidP="008A43C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BE23E3" w14:textId="77777777" w:rsidR="008A43CF" w:rsidRPr="00895B7F" w:rsidRDefault="008A43CF" w:rsidP="008A43C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73BBD2" w14:textId="77777777" w:rsidR="008A43CF" w:rsidRPr="00895B7F" w:rsidRDefault="008A43CF" w:rsidP="008A43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096D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ПОЛЬЗОВАТЕЛЯ</w:t>
      </w:r>
    </w:p>
    <w:p w14:paraId="40F9209C" w14:textId="77777777" w:rsidR="008A43CF" w:rsidRPr="00895B7F" w:rsidRDefault="008A43CF" w:rsidP="008A43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64D8CA" w14:textId="77777777" w:rsidR="008A43CF" w:rsidRPr="00895B7F" w:rsidRDefault="008A43CF" w:rsidP="008A43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09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ЗАПРОС ДАННЫХ ДЛЯ КАЛИБРОВКИ СТРАХОВОГО РИСКА (КРОМЕ КАТАСТРОФИЧЕСКОГО) </w:t>
      </w:r>
    </w:p>
    <w:p w14:paraId="27DD883D" w14:textId="09A19B5D" w:rsidR="008A43CF" w:rsidRPr="00895B7F" w:rsidRDefault="008A43CF" w:rsidP="008A43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096D">
        <w:rPr>
          <w:rFonts w:ascii="Times New Roman" w:hAnsi="Times New Roman" w:cs="Times New Roman"/>
          <w:b/>
          <w:sz w:val="24"/>
          <w:szCs w:val="24"/>
          <w:lang w:val="ru-RU"/>
        </w:rPr>
        <w:t>ПО СТРАХОВАНИЮ ЖИЗНИ</w:t>
      </w:r>
    </w:p>
    <w:p w14:paraId="78C0513E" w14:textId="77777777" w:rsidR="008A43CF" w:rsidRPr="00895B7F" w:rsidRDefault="008A43CF" w:rsidP="008A43CF">
      <w:pPr>
        <w:jc w:val="center"/>
        <w:rPr>
          <w:sz w:val="24"/>
          <w:szCs w:val="24"/>
          <w:lang w:val="ru-RU"/>
        </w:rPr>
      </w:pPr>
    </w:p>
    <w:p w14:paraId="04F9A380" w14:textId="77777777" w:rsidR="008A43CF" w:rsidRPr="0017096D" w:rsidRDefault="008A43CF" w:rsidP="008A43CF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17096D">
        <w:rPr>
          <w:b/>
          <w:bCs/>
          <w:color w:val="000000"/>
          <w:lang w:val="ru-RU"/>
        </w:rPr>
        <w:t xml:space="preserve">в рамках реализации </w:t>
      </w:r>
    </w:p>
    <w:p w14:paraId="78020F3B" w14:textId="77777777" w:rsidR="008A43CF" w:rsidRPr="0017096D" w:rsidRDefault="008A43CF" w:rsidP="008A43CF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17096D">
        <w:rPr>
          <w:b/>
          <w:bCs/>
          <w:color w:val="000000"/>
          <w:lang w:val="ru-RU"/>
        </w:rPr>
        <w:t xml:space="preserve">КОНЦЕПЦИИ ПО ВНЕДРЕНИЮ </w:t>
      </w:r>
    </w:p>
    <w:p w14:paraId="020F514F" w14:textId="77777777" w:rsidR="008A43CF" w:rsidRPr="0017096D" w:rsidRDefault="008A43CF" w:rsidP="008A43CF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17096D">
        <w:rPr>
          <w:b/>
          <w:bCs/>
          <w:color w:val="000000"/>
          <w:lang w:val="ru-RU"/>
        </w:rPr>
        <w:t>РИСК-ОРИЕНТИРОВАННОГО ПОДХОДА</w:t>
      </w:r>
    </w:p>
    <w:p w14:paraId="20AEF561" w14:textId="77777777" w:rsidR="008A43CF" w:rsidRPr="0017096D" w:rsidRDefault="008A43CF" w:rsidP="008A43CF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17096D">
        <w:rPr>
          <w:b/>
          <w:bCs/>
          <w:color w:val="000000"/>
          <w:lang w:val="ru-RU"/>
        </w:rPr>
        <w:t>К</w:t>
      </w:r>
      <w:r w:rsidRPr="0017096D">
        <w:rPr>
          <w:b/>
          <w:bCs/>
          <w:color w:val="000000"/>
        </w:rPr>
        <w:t> </w:t>
      </w:r>
      <w:r w:rsidRPr="0017096D">
        <w:rPr>
          <w:b/>
          <w:bCs/>
          <w:color w:val="000000"/>
          <w:lang w:val="ru-RU"/>
        </w:rPr>
        <w:t>РЕГУЛИРОВАНИЮ СТРАХОВОГО СЕКТОРА</w:t>
      </w:r>
    </w:p>
    <w:p w14:paraId="1417E801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  <w:r w:rsidRPr="0017096D">
        <w:rPr>
          <w:b/>
          <w:bCs/>
          <w:color w:val="000000"/>
          <w:lang w:val="ru-RU"/>
        </w:rPr>
        <w:t>В</w:t>
      </w:r>
      <w:r w:rsidRPr="0017096D">
        <w:rPr>
          <w:b/>
          <w:bCs/>
          <w:color w:val="000000"/>
        </w:rPr>
        <w:t> </w:t>
      </w:r>
      <w:r w:rsidRPr="0017096D">
        <w:rPr>
          <w:b/>
          <w:bCs/>
          <w:color w:val="000000"/>
          <w:lang w:val="ru-RU"/>
        </w:rPr>
        <w:t>РОССИЙСКОЙ ФЕДЕРАЦИИ</w:t>
      </w:r>
    </w:p>
    <w:p w14:paraId="5382E842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5AC083A9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0728B2CC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14D8CAEA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327F1F53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5BC27F1F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2138C65F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35973AAA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36C2383C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20B551F4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7B8E55D9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3088587E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6599FA8A" w14:textId="77777777" w:rsidR="008A43CF" w:rsidRDefault="008A43CF" w:rsidP="008A43CF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color w:val="000000"/>
          <w:lang w:val="ru-RU"/>
        </w:rPr>
      </w:pPr>
    </w:p>
    <w:p w14:paraId="0E889E58" w14:textId="55F22F5A" w:rsidR="002A7EBF" w:rsidRPr="00E86457" w:rsidRDefault="002A7EBF" w:rsidP="00E86457">
      <w:pPr>
        <w:pStyle w:val="1"/>
      </w:pPr>
      <w:r w:rsidRPr="00E86457">
        <w:lastRenderedPageBreak/>
        <w:t xml:space="preserve">Цель запроса </w:t>
      </w:r>
    </w:p>
    <w:p w14:paraId="2A2F5C41" w14:textId="11926B5D" w:rsidR="002A7EBF" w:rsidRPr="00E86457" w:rsidRDefault="002A7EBF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На данном этапе перед Банком России поставлена задача по осуществлению калибровки отдельных параметров стандартной формулы, используемых для расчета требуемого капитала (</w:t>
      </w:r>
      <w:r w:rsidRPr="00E86457">
        <w:rPr>
          <w:rFonts w:ascii="Times New Roman" w:hAnsi="Times New Roman" w:cs="Times New Roman"/>
          <w:sz w:val="24"/>
          <w:szCs w:val="24"/>
        </w:rPr>
        <w:t>SCR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) по страхованию жизни (кроме катастрофического риска), в соответствии с принципами РОПР. </w:t>
      </w:r>
    </w:p>
    <w:p w14:paraId="392D8842" w14:textId="64A85157" w:rsidR="002A7EBF" w:rsidRPr="00E86457" w:rsidRDefault="002A7EBF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Данные, собранные посредством данного запроса за период </w:t>
      </w:r>
      <w:r w:rsidRPr="00192D3D">
        <w:rPr>
          <w:rFonts w:ascii="Times New Roman" w:hAnsi="Times New Roman" w:cs="Times New Roman"/>
          <w:b/>
          <w:sz w:val="24"/>
          <w:szCs w:val="24"/>
          <w:lang w:val="ru-RU"/>
        </w:rPr>
        <w:t>01.01.2008–31.12.2017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>, будут использованы для калибровки шоков рисков (кроме риска катастроф) для расчета следующих (под)модулей капитала для обеспечения платежеспособности:</w:t>
      </w:r>
    </w:p>
    <w:p w14:paraId="109A144A" w14:textId="23AADCDF" w:rsidR="002A7EBF" w:rsidRPr="00E86457" w:rsidRDefault="008A43CF" w:rsidP="00E86457">
      <w:pPr>
        <w:pStyle w:val="bullets"/>
        <w:numPr>
          <w:ilvl w:val="0"/>
          <w:numId w:val="31"/>
        </w:numPr>
        <w:ind w:left="567" w:hanging="567"/>
      </w:pPr>
      <w:proofErr w:type="spellStart"/>
      <w:r>
        <w:t>А</w:t>
      </w:r>
      <w:r w:rsidR="002A7EBF" w:rsidRPr="00E86457">
        <w:t>ндеррайтинговый</w:t>
      </w:r>
      <w:proofErr w:type="spellEnd"/>
      <w:r w:rsidR="002A7EBF" w:rsidRPr="00E86457">
        <w:t xml:space="preserve"> риск по страхованию жизни</w:t>
      </w:r>
      <w:r w:rsidR="001A1FD6" w:rsidRPr="00E86457">
        <w:t>;</w:t>
      </w:r>
    </w:p>
    <w:p w14:paraId="3BAF01E3" w14:textId="0EF2542E" w:rsidR="002A7EBF" w:rsidRPr="00E86457" w:rsidRDefault="008A43CF" w:rsidP="00E86457">
      <w:pPr>
        <w:pStyle w:val="bullets"/>
      </w:pPr>
      <w:proofErr w:type="spellStart"/>
      <w:r>
        <w:t>А</w:t>
      </w:r>
      <w:r w:rsidR="002A7EBF" w:rsidRPr="00E86457">
        <w:t>ндеррайтинговый</w:t>
      </w:r>
      <w:proofErr w:type="spellEnd"/>
      <w:r w:rsidR="002A7EBF" w:rsidRPr="00E86457">
        <w:t xml:space="preserve"> риск по страхованию здоровья, технически аналогичный</w:t>
      </w:r>
      <w:r w:rsidR="0074552D" w:rsidRPr="00E86457">
        <w:t xml:space="preserve"> </w:t>
      </w:r>
      <w:r w:rsidR="002A7EBF" w:rsidRPr="00E86457">
        <w:t>страхованию жизни</w:t>
      </w:r>
      <w:r w:rsidR="001A1FD6" w:rsidRPr="00E86457">
        <w:t>.</w:t>
      </w:r>
    </w:p>
    <w:p w14:paraId="58D9205F" w14:textId="1EB446FF" w:rsidR="00FC006C" w:rsidRDefault="002B1BEE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Запрос приведен в </w:t>
      </w:r>
      <w:r w:rsidR="0074706C">
        <w:rPr>
          <w:rFonts w:ascii="Times New Roman" w:hAnsi="Times New Roman" w:cs="Times New Roman"/>
          <w:sz w:val="24"/>
          <w:szCs w:val="24"/>
          <w:lang w:val="ru-RU"/>
        </w:rPr>
        <w:t>файле «</w:t>
      </w:r>
      <w:r w:rsidR="0074706C" w:rsidRPr="0074706C">
        <w:rPr>
          <w:rFonts w:ascii="Times New Roman" w:hAnsi="Times New Roman" w:cs="Times New Roman"/>
          <w:sz w:val="24"/>
          <w:szCs w:val="24"/>
          <w:lang w:val="ru-RU"/>
        </w:rPr>
        <w:t>Запрос_данных_для_калибровки_life.xlsx</w:t>
      </w:r>
      <w:r w:rsidR="0074706C">
        <w:rPr>
          <w:rFonts w:ascii="Times New Roman" w:hAnsi="Times New Roman" w:cs="Times New Roman"/>
          <w:sz w:val="24"/>
          <w:szCs w:val="24"/>
          <w:lang w:val="ru-RU"/>
        </w:rPr>
        <w:t>», поставляемом совместно с данным руководством в одном архиве «</w:t>
      </w:r>
      <w:r w:rsidR="0074706C" w:rsidRPr="0074706C">
        <w:rPr>
          <w:rFonts w:ascii="Times New Roman" w:hAnsi="Times New Roman" w:cs="Times New Roman"/>
          <w:sz w:val="24"/>
          <w:szCs w:val="24"/>
          <w:lang w:val="ru-RU"/>
        </w:rPr>
        <w:t>Запрос данных для к</w:t>
      </w:r>
      <w:r w:rsidR="0074706C">
        <w:rPr>
          <w:rFonts w:ascii="Times New Roman" w:hAnsi="Times New Roman" w:cs="Times New Roman"/>
          <w:sz w:val="24"/>
          <w:szCs w:val="24"/>
          <w:lang w:val="ru-RU"/>
        </w:rPr>
        <w:t xml:space="preserve">алибровки страхового риска </w:t>
      </w:r>
      <w:r w:rsidR="0074706C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="0074706C" w:rsidRPr="0074706C">
        <w:rPr>
          <w:rFonts w:ascii="Times New Roman" w:hAnsi="Times New Roman" w:cs="Times New Roman"/>
          <w:sz w:val="24"/>
          <w:szCs w:val="24"/>
          <w:lang w:val="ru-RU"/>
        </w:rPr>
        <w:t>ife</w:t>
      </w:r>
      <w:proofErr w:type="spellEnd"/>
      <w:r w:rsidR="0074706C" w:rsidRPr="007470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706C">
        <w:rPr>
          <w:rFonts w:ascii="Times New Roman" w:hAnsi="Times New Roman" w:cs="Times New Roman"/>
          <w:sz w:val="24"/>
          <w:szCs w:val="24"/>
        </w:rPr>
        <w:t>zip</w:t>
      </w:r>
      <w:r w:rsidR="0074706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7B704E0F" w14:textId="77777777" w:rsidR="00086374" w:rsidRPr="00074EA3" w:rsidRDefault="00086374" w:rsidP="0008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FF0000"/>
          <w:sz w:val="24"/>
          <w:lang w:val="ru-RU"/>
        </w:rPr>
      </w:pPr>
      <w:r w:rsidRPr="007E7D54">
        <w:rPr>
          <w:rFonts w:ascii="Times New Roman" w:hAnsi="Times New Roman" w:cs="Times New Roman"/>
          <w:color w:val="FF0000"/>
          <w:sz w:val="24"/>
          <w:lang w:val="ru-RU"/>
        </w:rPr>
        <w:t>Важно: При заполнении запроса данных просьба НЕ использовать ссылки на внешние файлы (т. е. необходимо вставлять цифры в ячейки как значения</w:t>
      </w:r>
      <w:r w:rsidRPr="009E5F6A">
        <w:rPr>
          <w:rFonts w:ascii="Times New Roman" w:hAnsi="Times New Roman" w:cs="Times New Roman"/>
          <w:color w:val="FF0000"/>
          <w:sz w:val="24"/>
          <w:lang w:val="ru-RU"/>
        </w:rPr>
        <w:t xml:space="preserve"> или можно воспользоваться функционалом разрыва связи, доступным в </w:t>
      </w:r>
      <w:r w:rsidRPr="009E5F6A">
        <w:rPr>
          <w:rFonts w:ascii="Times New Roman" w:hAnsi="Times New Roman" w:cs="Times New Roman"/>
          <w:color w:val="FF0000"/>
          <w:sz w:val="24"/>
        </w:rPr>
        <w:t>excel</w:t>
      </w:r>
      <w:r w:rsidRPr="007E7D54">
        <w:rPr>
          <w:rFonts w:ascii="Times New Roman" w:hAnsi="Times New Roman" w:cs="Times New Roman"/>
          <w:color w:val="FF0000"/>
          <w:sz w:val="24"/>
          <w:lang w:val="ru-RU"/>
        </w:rPr>
        <w:t>), НЕ использовать вложенные объекты (т. е. все дополнительные документы направляются как отдельные файлы), а также НЕ скрывать листы по сегментам, по которым у компании нет информации (т. е. оставить их незаполненными). Весь набор заполненных файлов просьба предоставлять в одном архиве.</w:t>
      </w:r>
    </w:p>
    <w:p w14:paraId="05145A70" w14:textId="77777777" w:rsidR="00096302" w:rsidRPr="00E86457" w:rsidRDefault="00096302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4D90C5" w14:textId="72C00307" w:rsidR="002A7EBF" w:rsidRPr="00E86457" w:rsidRDefault="002A7EBF" w:rsidP="00E86457">
      <w:pPr>
        <w:pStyle w:val="1"/>
      </w:pPr>
      <w:r w:rsidRPr="00E86457">
        <w:t>Описание листов запроса</w:t>
      </w:r>
    </w:p>
    <w:p w14:paraId="77816FD5" w14:textId="5A7A1D6F" w:rsidR="002A7EBF" w:rsidRPr="00E86457" w:rsidRDefault="002A7EBF">
      <w:pPr>
        <w:pStyle w:val="2"/>
      </w:pPr>
      <w:r w:rsidRPr="00E86457">
        <w:t xml:space="preserve">Лист </w:t>
      </w:r>
      <w:r w:rsidR="002B1BEE" w:rsidRPr="00E86457">
        <w:t>«Демографические риски»</w:t>
      </w:r>
    </w:p>
    <w:p w14:paraId="23094D15" w14:textId="1D2A0165" w:rsidR="002A7EBF" w:rsidRPr="00E86457" w:rsidRDefault="002B1BEE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Этот лист служит для сбора данных для калибровки шоков по следующим рискам:</w:t>
      </w:r>
    </w:p>
    <w:p w14:paraId="1B63978D" w14:textId="53BE8ECD" w:rsidR="002A7EBF" w:rsidRPr="00E86457" w:rsidRDefault="000552FF" w:rsidP="00E86457">
      <w:pPr>
        <w:pStyle w:val="bullets"/>
      </w:pPr>
      <w:r w:rsidRPr="008F1768">
        <w:t>м</w:t>
      </w:r>
      <w:r w:rsidR="002B1BEE" w:rsidRPr="00E86457">
        <w:t xml:space="preserve">одуль </w:t>
      </w:r>
      <w:r w:rsidRPr="00E86457">
        <w:t>«</w:t>
      </w:r>
      <w:proofErr w:type="spellStart"/>
      <w:r w:rsidR="002B1BEE" w:rsidRPr="00E86457">
        <w:t>Андеррайтинговый</w:t>
      </w:r>
      <w:proofErr w:type="spellEnd"/>
      <w:r w:rsidR="002B1BEE" w:rsidRPr="00E86457">
        <w:t xml:space="preserve"> риск по страхованию жизни</w:t>
      </w:r>
      <w:r w:rsidRPr="00E86457">
        <w:t>»</w:t>
      </w:r>
      <w:r w:rsidR="009E67BA" w:rsidRPr="00E86457">
        <w:t>:</w:t>
      </w:r>
    </w:p>
    <w:p w14:paraId="06B8D568" w14:textId="50792BFC" w:rsidR="002B1BEE" w:rsidRPr="00E86457" w:rsidRDefault="000552FF" w:rsidP="00E86457">
      <w:pPr>
        <w:pStyle w:val="Bullets2"/>
      </w:pPr>
      <w:r w:rsidRPr="00E86457">
        <w:t>р</w:t>
      </w:r>
      <w:r w:rsidR="002B1BEE" w:rsidRPr="00E86457">
        <w:t>иск смертности</w:t>
      </w:r>
      <w:r w:rsidR="001A1FD6" w:rsidRPr="00E86457">
        <w:t>;</w:t>
      </w:r>
    </w:p>
    <w:p w14:paraId="4943AD1C" w14:textId="53993066" w:rsidR="002B1BEE" w:rsidRPr="00E86457" w:rsidRDefault="000552FF" w:rsidP="00E86457">
      <w:pPr>
        <w:pStyle w:val="Bullets2"/>
      </w:pPr>
      <w:r w:rsidRPr="00E86457">
        <w:t>р</w:t>
      </w:r>
      <w:r w:rsidR="002B1BEE" w:rsidRPr="00E86457">
        <w:t>иск дожития</w:t>
      </w:r>
      <w:r w:rsidR="001A1FD6" w:rsidRPr="00E86457">
        <w:t>;</w:t>
      </w:r>
    </w:p>
    <w:p w14:paraId="3B20B059" w14:textId="36E28854" w:rsidR="002B1BEE" w:rsidRPr="00E86457" w:rsidRDefault="000552FF" w:rsidP="00E86457">
      <w:pPr>
        <w:pStyle w:val="Bullets2"/>
      </w:pPr>
      <w:r w:rsidRPr="00E86457">
        <w:lastRenderedPageBreak/>
        <w:t>р</w:t>
      </w:r>
      <w:r w:rsidR="002B1BEE" w:rsidRPr="00E86457">
        <w:t>иск потери трудоспособности и заболеваемости</w:t>
      </w:r>
      <w:r w:rsidR="001A1FD6" w:rsidRPr="00E86457">
        <w:t>;</w:t>
      </w:r>
    </w:p>
    <w:p w14:paraId="7F4F2B8A" w14:textId="2B94DF1A" w:rsidR="002B1BEE" w:rsidRPr="00E86457" w:rsidRDefault="000552FF" w:rsidP="00E86457">
      <w:pPr>
        <w:pStyle w:val="Bullets2"/>
      </w:pPr>
      <w:r w:rsidRPr="00E86457">
        <w:t>р</w:t>
      </w:r>
      <w:r w:rsidR="002B1BEE" w:rsidRPr="00E86457">
        <w:t>иск прекращения страхования (расторжений)</w:t>
      </w:r>
      <w:r w:rsidR="001A1FD6" w:rsidRPr="00E86457">
        <w:t>;</w:t>
      </w:r>
    </w:p>
    <w:p w14:paraId="11522A75" w14:textId="2253AED6" w:rsidR="002B1BEE" w:rsidRPr="00E86457" w:rsidRDefault="000552FF" w:rsidP="00E86457">
      <w:pPr>
        <w:pStyle w:val="bullets"/>
      </w:pPr>
      <w:r w:rsidRPr="00E86457">
        <w:t>п</w:t>
      </w:r>
      <w:r w:rsidR="002B1BEE" w:rsidRPr="00E86457">
        <w:t xml:space="preserve">одмодуль </w:t>
      </w:r>
      <w:r w:rsidRPr="00E86457">
        <w:t>«</w:t>
      </w:r>
      <w:proofErr w:type="spellStart"/>
      <w:r w:rsidR="002B1BEE" w:rsidRPr="00E86457">
        <w:t>Андеррайтинговый</w:t>
      </w:r>
      <w:proofErr w:type="spellEnd"/>
      <w:r w:rsidR="002B1BEE" w:rsidRPr="00E86457">
        <w:t xml:space="preserve"> риск по страхованию здоровья, технически аналогичный страхованию жизни</w:t>
      </w:r>
      <w:r w:rsidRPr="00E86457">
        <w:t>»</w:t>
      </w:r>
      <w:r w:rsidR="009E67BA" w:rsidRPr="00E86457">
        <w:t>:</w:t>
      </w:r>
    </w:p>
    <w:p w14:paraId="27C376F6" w14:textId="2D514534" w:rsidR="002B1BEE" w:rsidRPr="00E86457" w:rsidRDefault="000552FF" w:rsidP="00E86457">
      <w:pPr>
        <w:pStyle w:val="Bullets2"/>
      </w:pPr>
      <w:r w:rsidRPr="00E86457">
        <w:t>р</w:t>
      </w:r>
      <w:r w:rsidR="002B1BEE" w:rsidRPr="00E86457">
        <w:t>иск смертности при страховании здоровья</w:t>
      </w:r>
      <w:r w:rsidR="001A1FD6" w:rsidRPr="00E86457">
        <w:t>;</w:t>
      </w:r>
    </w:p>
    <w:p w14:paraId="10B7882C" w14:textId="21D89AD5" w:rsidR="002B1BEE" w:rsidRPr="00E86457" w:rsidRDefault="000552FF" w:rsidP="00E86457">
      <w:pPr>
        <w:pStyle w:val="Bullets2"/>
      </w:pPr>
      <w:r w:rsidRPr="00E86457">
        <w:t>р</w:t>
      </w:r>
      <w:r w:rsidR="002B1BEE" w:rsidRPr="00E86457">
        <w:t>иск дожития при страховании здоровья</w:t>
      </w:r>
      <w:r w:rsidR="001A1FD6" w:rsidRPr="00E86457">
        <w:t>;</w:t>
      </w:r>
    </w:p>
    <w:p w14:paraId="6BEFBA6D" w14:textId="0DB8A709" w:rsidR="002B1BEE" w:rsidRPr="00E86457" w:rsidRDefault="000552FF" w:rsidP="00E86457">
      <w:pPr>
        <w:pStyle w:val="Bullets2"/>
      </w:pPr>
      <w:r w:rsidRPr="00E86457">
        <w:t>р</w:t>
      </w:r>
      <w:r w:rsidR="002B1BEE" w:rsidRPr="00E86457">
        <w:t>иск потери трудоспособности и заболеваемости при страховании здоровья</w:t>
      </w:r>
      <w:r w:rsidR="001A1FD6" w:rsidRPr="00E86457">
        <w:t>;</w:t>
      </w:r>
    </w:p>
    <w:p w14:paraId="66CFDB82" w14:textId="7FECCCF2" w:rsidR="002B1BEE" w:rsidRPr="00E86457" w:rsidRDefault="000552FF" w:rsidP="00E86457">
      <w:pPr>
        <w:pStyle w:val="Bullets2"/>
      </w:pPr>
      <w:r w:rsidRPr="00E86457">
        <w:t>р</w:t>
      </w:r>
      <w:r w:rsidR="002B1BEE" w:rsidRPr="00E86457">
        <w:t>иск прекращения страхования (расторжений) при страховании здоровья</w:t>
      </w:r>
      <w:r w:rsidR="001A1FD6" w:rsidRPr="00E86457">
        <w:t>.</w:t>
      </w:r>
    </w:p>
    <w:p w14:paraId="4B8EA1B5" w14:textId="126415BF" w:rsidR="002A7EBF" w:rsidRPr="00E86457" w:rsidRDefault="002B1BEE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На этом листе нужно заполнить две таблицы — таблицу 1 и таблицу 2. Описания полей каждой таблицы, а также инструкции по заполнению таблиц приведены на листе</w:t>
      </w:r>
      <w:r w:rsidR="0074552D" w:rsidRPr="00E864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01DA7B" w14:textId="11A6E5D9" w:rsidR="0074552D" w:rsidRPr="00E86457" w:rsidRDefault="0074552D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Таблица 1 заполняется для всех договоров страхования или их отдельных страховых рисков, которые попали бы в сегменты по страхованию жизни при первом количественном исследовании (далее КИ1) по внедрению РОПР в РФ, как если бы такое исследование проводилось на дату принятия каждого риска по договору.</w:t>
      </w:r>
    </w:p>
    <w:p w14:paraId="7B278F93" w14:textId="5F10EF0E" w:rsidR="0074552D" w:rsidRPr="00E86457" w:rsidRDefault="0074552D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Соответственно, при разделении бизнеса на (а) страхование жизни</w:t>
      </w:r>
      <w:r w:rsidR="00FA08CA" w:rsidRPr="00E864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 или на (б) страхование иное, чем страхование жизни, для целей заполнения таблицы 1 компании руководствуются теми же принципами, которые были использованы во время КИ</w:t>
      </w:r>
      <w:proofErr w:type="gramStart"/>
      <w:r w:rsidRPr="00E86457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E864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1A5D05" w14:textId="4B00617D" w:rsidR="007B0B0C" w:rsidRPr="00E86457" w:rsidRDefault="0074552D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Данные принципы приведены в </w:t>
      </w:r>
      <w:proofErr w:type="spellStart"/>
      <w:r w:rsidRPr="00E86457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E864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52FF" w:rsidRPr="000552FF">
        <w:rPr>
          <w:rFonts w:ascii="Times New Roman" w:hAnsi="Times New Roman" w:cs="Times New Roman"/>
          <w:sz w:val="24"/>
          <w:szCs w:val="24"/>
        </w:rPr>
        <w:t> 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>131-133 технической спецификации к КИ1. Для</w:t>
      </w:r>
      <w:r w:rsidR="000552FF" w:rsidRPr="000552F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удобства данные принципы отражены ниже в </w:t>
      </w:r>
      <w:r w:rsidR="00C372E1">
        <w:rPr>
          <w:rFonts w:ascii="Times New Roman" w:hAnsi="Times New Roman" w:cs="Times New Roman"/>
          <w:sz w:val="24"/>
          <w:szCs w:val="24"/>
          <w:lang w:val="ru-RU"/>
        </w:rPr>
        <w:t>Приложении 1</w:t>
      </w:r>
      <w:r w:rsidR="00540D9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EBE8861" w14:textId="51269395" w:rsidR="0074552D" w:rsidRPr="00E86457" w:rsidRDefault="0074552D">
      <w:pPr>
        <w:pStyle w:val="2"/>
      </w:pPr>
      <w:r w:rsidRPr="00E86457">
        <w:t xml:space="preserve">Листы «Демографические </w:t>
      </w:r>
      <w:proofErr w:type="spellStart"/>
      <w:r w:rsidRPr="00E86457">
        <w:t>риски_пример</w:t>
      </w:r>
      <w:proofErr w:type="spellEnd"/>
      <w:r w:rsidRPr="00E86457">
        <w:t xml:space="preserve"> 1» и «Демографические </w:t>
      </w:r>
      <w:proofErr w:type="spellStart"/>
      <w:r w:rsidRPr="00E86457">
        <w:t>риски_пример</w:t>
      </w:r>
      <w:proofErr w:type="spellEnd"/>
      <w:r w:rsidRPr="00E86457">
        <w:t xml:space="preserve"> 2»</w:t>
      </w:r>
    </w:p>
    <w:p w14:paraId="0067388D" w14:textId="0EC81C95" w:rsidR="0074552D" w:rsidRPr="00E86457" w:rsidRDefault="0074552D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Приведены примеры заполнения таблиц 1 и 2 для</w:t>
      </w:r>
      <w:r w:rsidR="008F1768" w:rsidRPr="00E8645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3E1075" w14:textId="4FF8A9F2" w:rsidR="0074552D" w:rsidRPr="00E86457" w:rsidRDefault="004B4021" w:rsidP="00E86457">
      <w:pPr>
        <w:pStyle w:val="bullets"/>
      </w:pPr>
      <w:r w:rsidRPr="008F1768">
        <w:t>договора</w:t>
      </w:r>
      <w:r w:rsidR="0074552D" w:rsidRPr="00E22DAB">
        <w:t xml:space="preserve"> смешанного страхования с единовременной выплатой страховой </w:t>
      </w:r>
      <w:r w:rsidR="00D67AE4" w:rsidRPr="00E86457">
        <w:t>суммы (</w:t>
      </w:r>
      <w:r w:rsidR="0074552D" w:rsidRPr="00E86457">
        <w:t>на</w:t>
      </w:r>
      <w:r w:rsidR="008F1768">
        <w:rPr>
          <w:lang w:val="en-US"/>
        </w:rPr>
        <w:t> </w:t>
      </w:r>
      <w:r w:rsidR="0074552D" w:rsidRPr="00E86457">
        <w:t xml:space="preserve">листе «Демографические </w:t>
      </w:r>
      <w:proofErr w:type="spellStart"/>
      <w:r w:rsidR="0074552D" w:rsidRPr="00E86457">
        <w:t>риски_пример</w:t>
      </w:r>
      <w:proofErr w:type="spellEnd"/>
      <w:r w:rsidR="0074552D" w:rsidRPr="00E86457">
        <w:t xml:space="preserve"> 1»)</w:t>
      </w:r>
      <w:r w:rsidR="001A1FD6" w:rsidRPr="00E86457">
        <w:t>;</w:t>
      </w:r>
    </w:p>
    <w:p w14:paraId="7149B4F9" w14:textId="0CA4F949" w:rsidR="0074552D" w:rsidRPr="00E86457" w:rsidRDefault="004B4021" w:rsidP="00E86457">
      <w:pPr>
        <w:pStyle w:val="bullets"/>
      </w:pPr>
      <w:r w:rsidRPr="00E86457">
        <w:t>договора</w:t>
      </w:r>
      <w:r w:rsidR="0074552D" w:rsidRPr="00E86457">
        <w:t xml:space="preserve"> с единовременной выплатой страховой суммы в случае смерти и с выплатой в виде аннуитета в случае дожития</w:t>
      </w:r>
      <w:r w:rsidR="00E65A44" w:rsidRPr="00E86457">
        <w:t xml:space="preserve"> </w:t>
      </w:r>
      <w:r w:rsidR="0074552D" w:rsidRPr="00E86457">
        <w:t>(на листе «</w:t>
      </w:r>
      <w:r w:rsidR="00E65A44" w:rsidRPr="00E86457">
        <w:t xml:space="preserve">Демографические </w:t>
      </w:r>
      <w:proofErr w:type="spellStart"/>
      <w:r w:rsidR="00E65A44" w:rsidRPr="00E86457">
        <w:t>риски_пример</w:t>
      </w:r>
      <w:proofErr w:type="spellEnd"/>
      <w:r w:rsidR="00E65A44" w:rsidRPr="00E86457">
        <w:t xml:space="preserve"> 2</w:t>
      </w:r>
      <w:r w:rsidR="0074552D" w:rsidRPr="00E86457">
        <w:t>»)</w:t>
      </w:r>
      <w:r w:rsidR="001A1FD6" w:rsidRPr="00E86457">
        <w:t>.</w:t>
      </w:r>
    </w:p>
    <w:p w14:paraId="56BD6EED" w14:textId="40086CFB" w:rsidR="00E65A44" w:rsidRPr="00E86457" w:rsidRDefault="00E65A44">
      <w:pPr>
        <w:pStyle w:val="2"/>
      </w:pPr>
      <w:r w:rsidRPr="00E86457">
        <w:t>Лист «Риск пересмотра»</w:t>
      </w:r>
    </w:p>
    <w:p w14:paraId="5043DF68" w14:textId="2AFBB6B3" w:rsidR="00E65A44" w:rsidRPr="00E86457" w:rsidRDefault="00E65A44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Данный лист служит для сбора данных для калибровки шоков по следующим рискам:</w:t>
      </w:r>
    </w:p>
    <w:p w14:paraId="69D32CC6" w14:textId="5C4D2C66" w:rsidR="00E65A44" w:rsidRPr="00E86457" w:rsidRDefault="000552FF" w:rsidP="00E86457">
      <w:pPr>
        <w:pStyle w:val="bullets"/>
      </w:pPr>
      <w:r w:rsidRPr="000552FF">
        <w:lastRenderedPageBreak/>
        <w:t>м</w:t>
      </w:r>
      <w:r w:rsidR="00E65A44" w:rsidRPr="00E86457">
        <w:t xml:space="preserve">одуль </w:t>
      </w:r>
      <w:r w:rsidRPr="00E86457">
        <w:t>«</w:t>
      </w:r>
      <w:proofErr w:type="spellStart"/>
      <w:r w:rsidR="00E65A44" w:rsidRPr="00E86457">
        <w:t>Андеррайтинговый</w:t>
      </w:r>
      <w:proofErr w:type="spellEnd"/>
      <w:r w:rsidR="00E65A44" w:rsidRPr="00E86457">
        <w:t xml:space="preserve"> риск по страхованию жизни</w:t>
      </w:r>
      <w:r w:rsidRPr="00E86457">
        <w:t>»</w:t>
      </w:r>
      <w:r w:rsidR="00D67AE4" w:rsidRPr="00E86457">
        <w:t>:</w:t>
      </w:r>
    </w:p>
    <w:p w14:paraId="656996E6" w14:textId="17AD3FB7" w:rsidR="00E65A44" w:rsidRPr="00E86457" w:rsidRDefault="000552FF" w:rsidP="00E86457">
      <w:pPr>
        <w:pStyle w:val="Bullets2"/>
      </w:pPr>
      <w:r w:rsidRPr="008F1768">
        <w:t>р</w:t>
      </w:r>
      <w:r w:rsidR="00E65A44" w:rsidRPr="00E86457">
        <w:t>иск пересмотра условий договора</w:t>
      </w:r>
      <w:r w:rsidR="00D417BE" w:rsidRPr="00E86457">
        <w:t>;</w:t>
      </w:r>
    </w:p>
    <w:p w14:paraId="3EFAC1BD" w14:textId="701916C9" w:rsidR="00E65A44" w:rsidRPr="00E86457" w:rsidRDefault="000552FF" w:rsidP="00E86457">
      <w:pPr>
        <w:pStyle w:val="bullets"/>
        <w:keepNext/>
        <w:keepLines/>
      </w:pPr>
      <w:r w:rsidRPr="00E86457">
        <w:t>п</w:t>
      </w:r>
      <w:r w:rsidR="00E65A44" w:rsidRPr="00E86457">
        <w:t xml:space="preserve">одмодуль </w:t>
      </w:r>
      <w:r w:rsidRPr="003E3324">
        <w:t>«</w:t>
      </w:r>
      <w:proofErr w:type="spellStart"/>
      <w:r w:rsidR="00E65A44" w:rsidRPr="00E22DAB">
        <w:t>Андеррайтинговый</w:t>
      </w:r>
      <w:proofErr w:type="spellEnd"/>
      <w:r w:rsidR="00E65A44" w:rsidRPr="00E22DAB">
        <w:t xml:space="preserve"> риск по </w:t>
      </w:r>
      <w:r w:rsidR="00E65A44" w:rsidRPr="00E86457">
        <w:t>страхованию здоровья, технически аналогичный страхованию жизни</w:t>
      </w:r>
      <w:r w:rsidRPr="003E3324">
        <w:t>»</w:t>
      </w:r>
      <w:r w:rsidR="00D67AE4" w:rsidRPr="00E22DAB">
        <w:t>:</w:t>
      </w:r>
    </w:p>
    <w:p w14:paraId="34E737BE" w14:textId="3A6C0639" w:rsidR="00E65A44" w:rsidRPr="00E86457" w:rsidRDefault="000552FF" w:rsidP="00E86457">
      <w:pPr>
        <w:pStyle w:val="Bullets2"/>
      </w:pPr>
      <w:r w:rsidRPr="00E86457">
        <w:t>р</w:t>
      </w:r>
      <w:r w:rsidR="00E65A44" w:rsidRPr="00E86457">
        <w:t>иск пересмотра условий договора при страховании здоровья</w:t>
      </w:r>
      <w:r w:rsidR="00D417BE" w:rsidRPr="00E86457">
        <w:t>.</w:t>
      </w:r>
    </w:p>
    <w:p w14:paraId="5B15B537" w14:textId="2A8A5A5C" w:rsidR="00E65A44" w:rsidRPr="00E86457" w:rsidRDefault="00E65A44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Данный лист носит качественный, а не количественный характер. Соответственно, здесь следует ответить на приведенные вопросы.</w:t>
      </w:r>
    </w:p>
    <w:p w14:paraId="0F1868AB" w14:textId="5D377DCA" w:rsidR="00E65A44" w:rsidRPr="00E86457" w:rsidRDefault="00E65A44">
      <w:pPr>
        <w:pStyle w:val="2"/>
      </w:pPr>
      <w:r w:rsidRPr="00E86457">
        <w:t>Лист «Риск затрат»</w:t>
      </w:r>
    </w:p>
    <w:p w14:paraId="01BBC45F" w14:textId="77777777" w:rsidR="00E65A44" w:rsidRPr="00E86457" w:rsidRDefault="00E65A44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Данный лист служит для сбора данных для калибровки шоков по следующим рискам:</w:t>
      </w:r>
    </w:p>
    <w:p w14:paraId="1B691D65" w14:textId="5A91B02B" w:rsidR="00E65A44" w:rsidRPr="00E86457" w:rsidRDefault="000552FF" w:rsidP="00E86457">
      <w:pPr>
        <w:pStyle w:val="bullets"/>
      </w:pPr>
      <w:r>
        <w:t>м</w:t>
      </w:r>
      <w:r w:rsidR="00E65A44" w:rsidRPr="00E22DAB">
        <w:t xml:space="preserve">одуль </w:t>
      </w:r>
      <w:r w:rsidRPr="003E3324">
        <w:t>«</w:t>
      </w:r>
      <w:proofErr w:type="spellStart"/>
      <w:r w:rsidR="00E65A44" w:rsidRPr="00E22DAB">
        <w:t>Андеррайтинговый</w:t>
      </w:r>
      <w:proofErr w:type="spellEnd"/>
      <w:r w:rsidR="00E65A44" w:rsidRPr="00E22DAB">
        <w:t xml:space="preserve"> риск по страхованию жизни</w:t>
      </w:r>
      <w:r w:rsidRPr="003E3324">
        <w:t>»</w:t>
      </w:r>
      <w:r w:rsidR="00266E1B" w:rsidRPr="00E22DAB">
        <w:t>:</w:t>
      </w:r>
    </w:p>
    <w:p w14:paraId="2A997DF7" w14:textId="22203DC9" w:rsidR="00E65A44" w:rsidRPr="00E86457" w:rsidRDefault="000552FF" w:rsidP="00E86457">
      <w:pPr>
        <w:pStyle w:val="Bullets2"/>
      </w:pPr>
      <w:r>
        <w:t>р</w:t>
      </w:r>
      <w:r w:rsidR="00E65A44" w:rsidRPr="008F1768">
        <w:t>иск затрат (расходов на ведение дела) по страхованию жизни</w:t>
      </w:r>
      <w:r w:rsidR="00D417BE" w:rsidRPr="00E22DAB">
        <w:t>;</w:t>
      </w:r>
    </w:p>
    <w:p w14:paraId="5D824824" w14:textId="4CC73A71" w:rsidR="00E65A44" w:rsidRPr="00E86457" w:rsidRDefault="000552FF" w:rsidP="00E86457">
      <w:pPr>
        <w:pStyle w:val="bullets"/>
      </w:pPr>
      <w:r>
        <w:t>п</w:t>
      </w:r>
      <w:r w:rsidR="00E65A44" w:rsidRPr="00E22DAB">
        <w:t xml:space="preserve">одмодуль </w:t>
      </w:r>
      <w:r w:rsidRPr="003E3324">
        <w:t>«</w:t>
      </w:r>
      <w:proofErr w:type="spellStart"/>
      <w:r w:rsidR="00E65A44" w:rsidRPr="00E22DAB">
        <w:t>Андеррайтинговый</w:t>
      </w:r>
      <w:proofErr w:type="spellEnd"/>
      <w:r w:rsidR="00E65A44" w:rsidRPr="00E22DAB">
        <w:t xml:space="preserve"> риск по </w:t>
      </w:r>
      <w:r w:rsidR="00E65A44" w:rsidRPr="00E86457">
        <w:t>страхованию здоровья, технически аналогичный страхованию жизни</w:t>
      </w:r>
      <w:r w:rsidRPr="003E3324">
        <w:t>»</w:t>
      </w:r>
      <w:r w:rsidR="00266E1B" w:rsidRPr="00E22DAB">
        <w:t>:</w:t>
      </w:r>
    </w:p>
    <w:p w14:paraId="6A167DFE" w14:textId="7BCB688B" w:rsidR="00E65A44" w:rsidRPr="00E86457" w:rsidRDefault="000552FF" w:rsidP="00E86457">
      <w:pPr>
        <w:pStyle w:val="Bullets2"/>
      </w:pPr>
      <w:r>
        <w:t>р</w:t>
      </w:r>
      <w:r w:rsidR="00E65A44" w:rsidRPr="008F1768">
        <w:t>иск з</w:t>
      </w:r>
      <w:r w:rsidR="00E65A44" w:rsidRPr="00E22DAB">
        <w:t>атрат (расходов на ведение дела) при страховании здоровья</w:t>
      </w:r>
      <w:r w:rsidR="00D417BE" w:rsidRPr="00E86457">
        <w:t>.</w:t>
      </w:r>
    </w:p>
    <w:p w14:paraId="7F733142" w14:textId="7127D495" w:rsidR="00E65A44" w:rsidRPr="00E86457" w:rsidRDefault="00E65A44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По своей сути данный лист является сбором конкретных указанных позиций из исторических отчетных форм, уже подготовленных страховщиками за прошлые периоды в ходе предоставления отчетности. Номера форм отчетности и конкретные позиции внутри них приведены на листе. </w:t>
      </w:r>
    </w:p>
    <w:p w14:paraId="18B94FB8" w14:textId="65A78BA5" w:rsidR="00E65A44" w:rsidRPr="00E86457" w:rsidRDefault="00E65A44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На данном листе нужно заполнить три таблицы: таблицу 3, таблицу 4 и таблицу 5. Описания полей каждой таблицы, а также инструкции по заполнению таблиц приведены на листе.</w:t>
      </w:r>
    </w:p>
    <w:p w14:paraId="5C5DB2B2" w14:textId="4576A338" w:rsidR="001C777F" w:rsidRPr="00E86457" w:rsidRDefault="001C777F">
      <w:pPr>
        <w:pStyle w:val="2"/>
      </w:pPr>
      <w:r w:rsidRPr="00E86457">
        <w:t xml:space="preserve">Остальные листы </w:t>
      </w:r>
    </w:p>
    <w:p w14:paraId="2E29F392" w14:textId="77777777" w:rsidR="001C777F" w:rsidRPr="00E86457" w:rsidRDefault="001C777F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Здесь рассматриваются следующие листы запроса: </w:t>
      </w:r>
    </w:p>
    <w:p w14:paraId="426CCEE1" w14:textId="31AD9743" w:rsidR="001C777F" w:rsidRPr="00E86457" w:rsidRDefault="001C777F" w:rsidP="00E86457">
      <w:pPr>
        <w:pStyle w:val="bullets"/>
        <w:spacing w:line="353" w:lineRule="auto"/>
      </w:pPr>
      <w:r w:rsidRPr="008F1768">
        <w:t>«4.1 ИСЖ»</w:t>
      </w:r>
      <w:r w:rsidR="008E02E3" w:rsidRPr="00E22DAB">
        <w:t>;</w:t>
      </w:r>
    </w:p>
    <w:p w14:paraId="634964CE" w14:textId="4737347A" w:rsidR="001C777F" w:rsidRPr="00E86457" w:rsidRDefault="001C777F" w:rsidP="00E86457">
      <w:pPr>
        <w:pStyle w:val="bullets"/>
        <w:spacing w:line="353" w:lineRule="auto"/>
      </w:pPr>
      <w:r w:rsidRPr="00E86457">
        <w:t>«4.2 Накопительное с НВПДВ»</w:t>
      </w:r>
      <w:r w:rsidR="008E02E3" w:rsidRPr="00E86457">
        <w:t>;</w:t>
      </w:r>
    </w:p>
    <w:p w14:paraId="11AD0F3A" w14:textId="114CF736" w:rsidR="001C777F" w:rsidRPr="00E86457" w:rsidRDefault="001C777F" w:rsidP="00E86457">
      <w:pPr>
        <w:pStyle w:val="bullets"/>
        <w:spacing w:line="353" w:lineRule="auto"/>
      </w:pPr>
      <w:r w:rsidRPr="00E86457">
        <w:t>«4.3 Накопительное без НВПДВ»</w:t>
      </w:r>
      <w:r w:rsidR="008E02E3" w:rsidRPr="00E86457">
        <w:t>;</w:t>
      </w:r>
    </w:p>
    <w:p w14:paraId="372DD620" w14:textId="2E11AA31" w:rsidR="001C777F" w:rsidRPr="00E86457" w:rsidRDefault="001C777F" w:rsidP="00E86457">
      <w:pPr>
        <w:pStyle w:val="bullets"/>
        <w:spacing w:line="353" w:lineRule="auto"/>
      </w:pPr>
      <w:r w:rsidRPr="00E86457">
        <w:t>«4.4 Жизнь и здоровье заемщиков»</w:t>
      </w:r>
      <w:r w:rsidR="008E02E3" w:rsidRPr="00E86457">
        <w:t>;</w:t>
      </w:r>
    </w:p>
    <w:p w14:paraId="747C49FC" w14:textId="354A922F" w:rsidR="001C777F" w:rsidRPr="00E86457" w:rsidRDefault="001C777F" w:rsidP="00E86457">
      <w:pPr>
        <w:pStyle w:val="bullets"/>
        <w:spacing w:line="353" w:lineRule="auto"/>
      </w:pPr>
      <w:r w:rsidRPr="00E86457">
        <w:lastRenderedPageBreak/>
        <w:t>«4.5 Пенсия и рента»</w:t>
      </w:r>
      <w:r w:rsidR="008E02E3" w:rsidRPr="00E86457">
        <w:t>;</w:t>
      </w:r>
    </w:p>
    <w:p w14:paraId="5F2F49DF" w14:textId="65834D8D" w:rsidR="001C777F" w:rsidRPr="00E86457" w:rsidRDefault="001C777F" w:rsidP="00E86457">
      <w:pPr>
        <w:pStyle w:val="bullets"/>
        <w:spacing w:line="353" w:lineRule="auto"/>
      </w:pPr>
      <w:r w:rsidRPr="00E86457">
        <w:t>«4.6 Рисковое страхование жизни»</w:t>
      </w:r>
      <w:r w:rsidR="008E02E3" w:rsidRPr="00E86457">
        <w:t>;</w:t>
      </w:r>
    </w:p>
    <w:p w14:paraId="3431DDA2" w14:textId="202DD1BD" w:rsidR="001C777F" w:rsidRPr="00E86457" w:rsidRDefault="001C777F" w:rsidP="00E86457">
      <w:pPr>
        <w:pStyle w:val="bullets"/>
        <w:spacing w:line="353" w:lineRule="auto"/>
      </w:pPr>
      <w:r w:rsidRPr="00E86457">
        <w:t>«4.7 Критические заболевания»</w:t>
      </w:r>
      <w:r w:rsidR="00863505" w:rsidRPr="00E86457">
        <w:t>;</w:t>
      </w:r>
    </w:p>
    <w:p w14:paraId="78105FB9" w14:textId="59DD71C4" w:rsidR="001C777F" w:rsidRPr="00E86457" w:rsidRDefault="001C777F" w:rsidP="00E86457">
      <w:pPr>
        <w:pStyle w:val="bullets"/>
        <w:spacing w:line="353" w:lineRule="auto"/>
      </w:pPr>
      <w:r w:rsidRPr="00E86457">
        <w:t>«4.8 Прочее страхование жизни»</w:t>
      </w:r>
      <w:r w:rsidR="00863505" w:rsidRPr="00E86457">
        <w:t>;</w:t>
      </w:r>
    </w:p>
    <w:p w14:paraId="27352E2D" w14:textId="38BDD881" w:rsidR="001C777F" w:rsidRPr="00E86457" w:rsidRDefault="001C777F" w:rsidP="00E86457">
      <w:pPr>
        <w:pStyle w:val="bullets"/>
        <w:spacing w:line="353" w:lineRule="auto"/>
      </w:pPr>
      <w:r w:rsidRPr="00E86457">
        <w:t>«4.9 Перестрахование КЗ»</w:t>
      </w:r>
      <w:r w:rsidR="00863505" w:rsidRPr="00E86457">
        <w:t>;</w:t>
      </w:r>
    </w:p>
    <w:p w14:paraId="5CB4B162" w14:textId="524BC107" w:rsidR="00C74F43" w:rsidRPr="00E86457" w:rsidRDefault="001C777F" w:rsidP="00E86457">
      <w:pPr>
        <w:pStyle w:val="bullets"/>
        <w:spacing w:line="353" w:lineRule="auto"/>
      </w:pPr>
      <w:r w:rsidRPr="00E86457">
        <w:t>«5.0 Перестрахование жизни»</w:t>
      </w:r>
      <w:r w:rsidR="00863505" w:rsidRPr="00E86457">
        <w:t>.</w:t>
      </w:r>
      <w:r w:rsidRPr="00E86457">
        <w:t xml:space="preserve"> </w:t>
      </w:r>
    </w:p>
    <w:p w14:paraId="4D17540B" w14:textId="2E54350C" w:rsidR="00C74F43" w:rsidRPr="00E86457" w:rsidRDefault="00C74F43" w:rsidP="00E86457">
      <w:pPr>
        <w:spacing w:before="240" w:after="240" w:line="3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Необходимо понимать эффект от изменения различных предположений, используемых как при расчете наилучшей оценки, так и при расчете оценки возмещений перестраховщика, на величину этих оценок. Иными словами, нужно провести анализ чувствительности данных оценок к предположениям.</w:t>
      </w:r>
    </w:p>
    <w:p w14:paraId="34CCB632" w14:textId="1DE312D5" w:rsidR="00C74F43" w:rsidRPr="00E86457" w:rsidRDefault="00C74F43" w:rsidP="00E86457">
      <w:pPr>
        <w:spacing w:before="240" w:after="240" w:line="3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Каждая из таблиц на вышеперечисленных листах содержит два блока: </w:t>
      </w:r>
    </w:p>
    <w:p w14:paraId="0471F9AA" w14:textId="73606598" w:rsidR="00C74F43" w:rsidRPr="00E86457" w:rsidRDefault="00160E33" w:rsidP="00E86457">
      <w:pPr>
        <w:pStyle w:val="bullets"/>
        <w:spacing w:line="353" w:lineRule="auto"/>
      </w:pPr>
      <w:r>
        <w:t>н</w:t>
      </w:r>
      <w:r w:rsidR="00C74F43" w:rsidRPr="008F1768">
        <w:t>аилучшая оценка</w:t>
      </w:r>
      <w:r w:rsidR="00863505" w:rsidRPr="00E22DAB">
        <w:t>;</w:t>
      </w:r>
    </w:p>
    <w:p w14:paraId="5C349433" w14:textId="542678A5" w:rsidR="002A7EBF" w:rsidRPr="00E86457" w:rsidRDefault="00160E33" w:rsidP="00E86457">
      <w:pPr>
        <w:pStyle w:val="bullets"/>
        <w:spacing w:line="353" w:lineRule="auto"/>
      </w:pPr>
      <w:r>
        <w:t>о</w:t>
      </w:r>
      <w:r w:rsidR="00C74F43" w:rsidRPr="00E22DAB">
        <w:t>жидаемые возмещения по перестрахованию</w:t>
      </w:r>
      <w:r w:rsidR="00863505" w:rsidRPr="00E86457">
        <w:t>.</w:t>
      </w:r>
    </w:p>
    <w:p w14:paraId="1DF5EE2E" w14:textId="4077BA19" w:rsidR="00C74F43" w:rsidRPr="00E86457" w:rsidRDefault="00C74F43" w:rsidP="00E86457">
      <w:pPr>
        <w:pStyle w:val="3"/>
        <w:spacing w:line="353" w:lineRule="auto"/>
        <w:rPr>
          <w:i w:val="0"/>
        </w:rPr>
      </w:pPr>
      <w:r w:rsidRPr="00E86457">
        <w:t xml:space="preserve">Заполнение блока </w:t>
      </w:r>
      <w:r w:rsidR="00160E33" w:rsidRPr="00160E33">
        <w:t>«</w:t>
      </w:r>
      <w:r w:rsidRPr="00E22DAB">
        <w:t>Наилучшая оценка</w:t>
      </w:r>
      <w:r w:rsidR="00160E33" w:rsidRPr="00E86457">
        <w:t>»</w:t>
      </w:r>
    </w:p>
    <w:p w14:paraId="7EBF2D81" w14:textId="77777777" w:rsidR="00C74F43" w:rsidRPr="00E86457" w:rsidRDefault="00C74F43" w:rsidP="00E86457">
      <w:pPr>
        <w:spacing w:before="240" w:after="240" w:line="3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>Во время заполнения шаблона данных из технической спецификации для КИ1 на каждом из вышеперечисленных листов 4.1–5.0 компании заполняли таблицу 4, отражающую наилучшую оценку, для сегментов РОПР по страхованию жизни.</w:t>
      </w:r>
    </w:p>
    <w:p w14:paraId="7C1906DB" w14:textId="31453873" w:rsidR="00C74F43" w:rsidRPr="00E86457" w:rsidRDefault="00C74F43" w:rsidP="00E86457">
      <w:pPr>
        <w:spacing w:before="240" w:after="240" w:line="3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Соответственно, в текущем шаблоне данных на листах 4.1–5.0 приведены к заполнению таблицы, каждая из которых, в части блока </w:t>
      </w:r>
      <w:r w:rsidR="00160E33" w:rsidRPr="00E86457">
        <w:rPr>
          <w:rFonts w:ascii="Times New Roman" w:hAnsi="Times New Roman" w:cs="Times New Roman"/>
          <w:lang w:val="ru-RU"/>
        </w:rPr>
        <w:t>«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>Наилучшая оценка</w:t>
      </w:r>
      <w:r w:rsidR="00160E33" w:rsidRPr="003E3324">
        <w:rPr>
          <w:rFonts w:ascii="Times New Roman" w:hAnsi="Times New Roman" w:cs="Times New Roman"/>
          <w:spacing w:val="-2"/>
          <w:sz w:val="24"/>
          <w:szCs w:val="24"/>
          <w:lang w:val="ru-RU"/>
        </w:rPr>
        <w:t>»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>, является версией таблицы 4 для КИ1 для соответствующего листа, но эта версия уже рассчитывается с шокируемым предположением. Просьба заполнить эти таблицы</w:t>
      </w:r>
      <w:r w:rsidR="000B222D" w:rsidRPr="00E864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DF428B" w14:textId="069EE478" w:rsidR="00C74F43" w:rsidRPr="00E86457" w:rsidRDefault="00C74F43" w:rsidP="00E86457">
      <w:pPr>
        <w:spacing w:before="240" w:after="240" w:line="353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заполнении блока </w:t>
      </w:r>
      <w:r w:rsidR="00160E33" w:rsidRPr="00E86457">
        <w:rPr>
          <w:rFonts w:ascii="Times New Roman" w:hAnsi="Times New Roman" w:cs="Times New Roman"/>
          <w:spacing w:val="-2"/>
          <w:lang w:val="ru-RU"/>
        </w:rPr>
        <w:t>«</w:t>
      </w:r>
      <w:r w:rsidRPr="00E86457">
        <w:rPr>
          <w:rFonts w:ascii="Times New Roman" w:hAnsi="Times New Roman" w:cs="Times New Roman"/>
          <w:spacing w:val="-2"/>
          <w:sz w:val="24"/>
          <w:szCs w:val="24"/>
          <w:lang w:val="ru-RU"/>
        </w:rPr>
        <w:t>Наилучшая оценка</w:t>
      </w:r>
      <w:r w:rsidR="00160E33" w:rsidRPr="00E86457">
        <w:rPr>
          <w:rFonts w:ascii="Times New Roman" w:hAnsi="Times New Roman" w:cs="Times New Roman"/>
          <w:spacing w:val="-2"/>
          <w:sz w:val="24"/>
          <w:szCs w:val="24"/>
          <w:lang w:val="ru-RU"/>
        </w:rPr>
        <w:t>»</w:t>
      </w:r>
      <w:r w:rsidRPr="00E864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каждой таблицы необходимо руководствоваться следующим:</w:t>
      </w:r>
    </w:p>
    <w:p w14:paraId="18AB036D" w14:textId="448AE4ED" w:rsidR="00D840BA" w:rsidRPr="00E86457" w:rsidRDefault="00160E33" w:rsidP="00E86457">
      <w:pPr>
        <w:pStyle w:val="bullets"/>
        <w:spacing w:line="353" w:lineRule="auto"/>
        <w:rPr>
          <w:spacing w:val="-2"/>
        </w:rPr>
      </w:pPr>
      <w:r w:rsidRPr="00E86457">
        <w:rPr>
          <w:spacing w:val="-2"/>
        </w:rPr>
        <w:t>н</w:t>
      </w:r>
      <w:r w:rsidR="00C74F43" w:rsidRPr="00E86457">
        <w:rPr>
          <w:spacing w:val="-2"/>
        </w:rPr>
        <w:t xml:space="preserve">а каждом листе блок </w:t>
      </w:r>
      <w:r w:rsidRPr="00E86457">
        <w:rPr>
          <w:spacing w:val="-2"/>
        </w:rPr>
        <w:t>«</w:t>
      </w:r>
      <w:r w:rsidR="00C74F43" w:rsidRPr="00E86457">
        <w:rPr>
          <w:spacing w:val="-2"/>
        </w:rPr>
        <w:t>Наилучшая оценка</w:t>
      </w:r>
      <w:r w:rsidRPr="008F1768">
        <w:rPr>
          <w:spacing w:val="-2"/>
        </w:rPr>
        <w:t>»</w:t>
      </w:r>
      <w:r w:rsidR="00C74F43" w:rsidRPr="00E86457">
        <w:rPr>
          <w:spacing w:val="-2"/>
        </w:rPr>
        <w:t xml:space="preserve"> каждой таблицы рассчитывается на тех же полисных данных, на тех же моделях и на ту же отчетную дату (31.12.2017), которые применялись для расчета таблицы 4 во время заполнения этого листа для целей КИ1.</w:t>
      </w:r>
      <w:r w:rsidR="0088388C" w:rsidRPr="00E86457">
        <w:rPr>
          <w:spacing w:val="-2"/>
        </w:rPr>
        <w:t xml:space="preserve"> </w:t>
      </w:r>
      <w:r w:rsidR="00C74F43" w:rsidRPr="00E86457">
        <w:rPr>
          <w:spacing w:val="-2"/>
        </w:rPr>
        <w:t>Соответственно, не предполагаются ни какие-либо изменения сегментации бизнеса на 31.12.2017, ни какие-либо изменения моделей для расчета наилучшей оценки, которые (модели и сегментация) уже использовались для целей КИ1</w:t>
      </w:r>
      <w:r w:rsidR="00A64C6A" w:rsidRPr="00E86457">
        <w:rPr>
          <w:spacing w:val="-2"/>
        </w:rPr>
        <w:t>;</w:t>
      </w:r>
    </w:p>
    <w:p w14:paraId="4F5B78AA" w14:textId="1E8791AB" w:rsidR="00C74F43" w:rsidRPr="008F1768" w:rsidRDefault="00160E33" w:rsidP="00E86457">
      <w:pPr>
        <w:pStyle w:val="bullets"/>
        <w:spacing w:line="353" w:lineRule="auto"/>
      </w:pPr>
      <w:r>
        <w:lastRenderedPageBreak/>
        <w:t>н</w:t>
      </w:r>
      <w:r w:rsidR="00C74F43" w:rsidRPr="00E86457">
        <w:t xml:space="preserve">а каждом листе блок </w:t>
      </w:r>
      <w:r w:rsidRPr="003E3324">
        <w:rPr>
          <w:spacing w:val="-2"/>
        </w:rPr>
        <w:t>«Наилучшая оценка»</w:t>
      </w:r>
      <w:r w:rsidR="00C74F43" w:rsidRPr="00E86457">
        <w:t xml:space="preserve"> каждой таблицы рассчитывается на тех же предположениях (базовый сценарий), кроме одного шокируемого предположения, которые применялись для расчета таблицы 4 во время заполнения этого листа для целей КИ1</w:t>
      </w:r>
      <w:r w:rsidR="00A64C6A" w:rsidRPr="00E86457">
        <w:t>;</w:t>
      </w:r>
    </w:p>
    <w:p w14:paraId="62471A4F" w14:textId="51EC03D1" w:rsidR="00A64C6A" w:rsidRPr="008F1768" w:rsidRDefault="00160E33" w:rsidP="00E86457">
      <w:pPr>
        <w:pStyle w:val="bullets"/>
      </w:pPr>
      <w:r>
        <w:t>ш</w:t>
      </w:r>
      <w:r w:rsidR="00C74F43" w:rsidRPr="00E86457">
        <w:t>окируемое предположение, а также описание применения к нему шока и величины этого шока приведены курсивом в заголовке каждой таблицы</w:t>
      </w:r>
      <w:r w:rsidR="00A64C6A" w:rsidRPr="00E86457">
        <w:t>;</w:t>
      </w:r>
    </w:p>
    <w:p w14:paraId="41C44A17" w14:textId="665B59B1" w:rsidR="00C74F43" w:rsidRPr="008F1768" w:rsidRDefault="00160E33" w:rsidP="00E86457">
      <w:pPr>
        <w:pStyle w:val="bullets"/>
      </w:pPr>
      <w:r>
        <w:t>к</w:t>
      </w:r>
      <w:r w:rsidR="00C74F43" w:rsidRPr="00E86457">
        <w:t xml:space="preserve">аждая из таблиц рассчитывается только с одним предположением из базового сценария, к которому (предположению) применяется шок. Соответственно, одновременное </w:t>
      </w:r>
      <w:proofErr w:type="spellStart"/>
      <w:r w:rsidR="00C74F43" w:rsidRPr="00E86457">
        <w:t>шокирование</w:t>
      </w:r>
      <w:proofErr w:type="spellEnd"/>
      <w:r w:rsidR="00C74F43" w:rsidRPr="00E86457">
        <w:t xml:space="preserve"> (изменение) двух и более предположений базового сценария при расчете какой-либо одной таблицы не предполагается</w:t>
      </w:r>
      <w:r w:rsidR="00A64C6A" w:rsidRPr="00E86457">
        <w:t>;</w:t>
      </w:r>
    </w:p>
    <w:p w14:paraId="0A84799F" w14:textId="598CC34D" w:rsidR="00876315" w:rsidRPr="008F1768" w:rsidRDefault="00160E33" w:rsidP="00E86457">
      <w:pPr>
        <w:pStyle w:val="bullets"/>
      </w:pPr>
      <w:r>
        <w:t>е</w:t>
      </w:r>
      <w:r w:rsidR="00C74F43" w:rsidRPr="00E86457">
        <w:t>сли какое-либо предположение, из указанных как шокируемое в таблицах на каком-либо листе 4.1–5.0, не влияет на величину наилучшей оценки для бизнеса, отраженного на этом листе, то такая таблица на этом листе не заполняется</w:t>
      </w:r>
      <w:r w:rsidR="00A64C6A" w:rsidRPr="00E86457">
        <w:t>;</w:t>
      </w:r>
    </w:p>
    <w:p w14:paraId="631B8648" w14:textId="082D3F50" w:rsidR="00C74F43" w:rsidRPr="008F1768" w:rsidRDefault="00160E33" w:rsidP="00E86457">
      <w:pPr>
        <w:pStyle w:val="bullets"/>
      </w:pPr>
      <w:r>
        <w:t>н</w:t>
      </w:r>
      <w:r w:rsidR="00C74F43" w:rsidRPr="00E86457">
        <w:t>аличие шоков не приводит к изменению подходов к распределению бонусов. То есть методология распределения бонусов и параметры распределения остаются такими же, как и для базового сценария без шоков</w:t>
      </w:r>
      <w:r w:rsidR="00A64C6A" w:rsidRPr="00E86457">
        <w:t>;</w:t>
      </w:r>
    </w:p>
    <w:p w14:paraId="2DC2E80F" w14:textId="6F741BA0" w:rsidR="002A7EBF" w:rsidRPr="008F1768" w:rsidRDefault="00160E33" w:rsidP="00E86457">
      <w:pPr>
        <w:pStyle w:val="bullets"/>
      </w:pPr>
      <w:r>
        <w:t>п</w:t>
      </w:r>
      <w:r w:rsidR="00C74F43" w:rsidRPr="00E86457">
        <w:t xml:space="preserve">ри расчете блока </w:t>
      </w:r>
      <w:r w:rsidRPr="00160E33">
        <w:t>«Наилучшая оценка»</w:t>
      </w:r>
      <w:r w:rsidR="00C74F43" w:rsidRPr="00E86457">
        <w:t xml:space="preserve"> каждой таблицы на каждом листе 4.1–5.0 следует указывать только полученные суммы для сценария с шокируемым предположением, а не разницы между этими суммами и суммами, полученными во время расчета наилучшей оценки при проведении КИ1</w:t>
      </w:r>
      <w:r w:rsidR="00A64C6A" w:rsidRPr="00E86457">
        <w:t>.</w:t>
      </w:r>
    </w:p>
    <w:p w14:paraId="5D7BA16C" w14:textId="67C3D5F4" w:rsidR="00876315" w:rsidRPr="00E86457" w:rsidRDefault="00876315" w:rsidP="00E86457">
      <w:pPr>
        <w:pStyle w:val="3"/>
        <w:rPr>
          <w:i w:val="0"/>
        </w:rPr>
      </w:pPr>
      <w:r w:rsidRPr="00E86457">
        <w:t xml:space="preserve">Заполнение блока </w:t>
      </w:r>
      <w:r w:rsidR="00160E33" w:rsidRPr="00160E33">
        <w:t>«</w:t>
      </w:r>
      <w:r w:rsidRPr="00E22DAB">
        <w:t>Ожидаемые возмещения по перестрахованию</w:t>
      </w:r>
      <w:r w:rsidR="00160E33" w:rsidRPr="00160E33">
        <w:t>»</w:t>
      </w:r>
    </w:p>
    <w:p w14:paraId="22752E9C" w14:textId="249CF3F6" w:rsidR="00876315" w:rsidRPr="00E86457" w:rsidRDefault="00876315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Во время заполнения шаблона данных из технической спецификации для КИ1, на каждом из вышеперечисленных листов 4.1–5.0 компании заполняли таблицу 6, отражающую ожидаемые возмещения по перестрахованию для сегментов РОПР по страхованию жизни. </w:t>
      </w:r>
    </w:p>
    <w:p w14:paraId="3F9B7717" w14:textId="4A78B7DB" w:rsidR="00876315" w:rsidRPr="00E86457" w:rsidRDefault="00876315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Соответственно, в текущем шаблоне данных на листах 4.1–5.0 приведены к заполнению таблицы, каждая из которых, в части блока </w:t>
      </w:r>
      <w:r w:rsidR="00160E33" w:rsidRPr="00160E3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>Ожидаемые возмещения по перестрахованию</w:t>
      </w:r>
      <w:r w:rsidR="00160E33" w:rsidRPr="00160E3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>, является версией таблицы 6 для КИ1 для соответствующего листа, но эта версия уже рассчитывается с шокируемым предположением. Просьба заполнить эти таблицы.</w:t>
      </w:r>
    </w:p>
    <w:p w14:paraId="2136240B" w14:textId="619378C3" w:rsidR="0050402B" w:rsidRPr="00E86457" w:rsidRDefault="0050402B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блока </w:t>
      </w:r>
      <w:r w:rsidR="00146920" w:rsidRPr="0014692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>Ожидаемые возмещения по перестрахованию</w:t>
      </w:r>
      <w:r w:rsidR="00146920" w:rsidRPr="0014692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 следующая: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02"/>
        <w:gridCol w:w="9069"/>
      </w:tblGrid>
      <w:tr w:rsidR="007B2C52" w:rsidRPr="00DF2B48" w14:paraId="1830FC1D" w14:textId="77777777" w:rsidTr="00E86457">
        <w:tc>
          <w:tcPr>
            <w:tcW w:w="262" w:type="pct"/>
            <w:vAlign w:val="center"/>
          </w:tcPr>
          <w:p w14:paraId="3D2B6138" w14:textId="6E483682" w:rsidR="007B2C52" w:rsidRPr="00E86457" w:rsidRDefault="007B2C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(1)</w:t>
            </w:r>
          </w:p>
        </w:tc>
        <w:tc>
          <w:tcPr>
            <w:tcW w:w="4738" w:type="pct"/>
            <w:vAlign w:val="center"/>
          </w:tcPr>
          <w:p w14:paraId="1A21A7D9" w14:textId="7A3A1ADB" w:rsidR="007B2C52" w:rsidRPr="00E86457" w:rsidRDefault="007B2C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ожидаемые возмещения по перестрахованию с учетом дефолта [=(2)-(6)]</w:t>
            </w:r>
          </w:p>
        </w:tc>
      </w:tr>
      <w:tr w:rsidR="007B2C52" w:rsidRPr="00D365E9" w14:paraId="240442B6" w14:textId="77777777" w:rsidTr="00E86457">
        <w:tc>
          <w:tcPr>
            <w:tcW w:w="262" w:type="pct"/>
            <w:vAlign w:val="center"/>
          </w:tcPr>
          <w:p w14:paraId="06102739" w14:textId="172C24F3" w:rsidR="007B2C52" w:rsidRPr="00E86457" w:rsidRDefault="007B2C52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(2)</w:t>
            </w:r>
          </w:p>
        </w:tc>
        <w:tc>
          <w:tcPr>
            <w:tcW w:w="4738" w:type="pct"/>
            <w:vAlign w:val="center"/>
          </w:tcPr>
          <w:p w14:paraId="2A449491" w14:textId="6E43DFD2" w:rsidR="007B2C52" w:rsidRPr="00E86457" w:rsidRDefault="00192D3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B2C52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Входящие денежные потоки [=(3)+(4)+(5)]</w:t>
            </w:r>
          </w:p>
        </w:tc>
      </w:tr>
      <w:tr w:rsidR="007B2C52" w:rsidRPr="00192D3D" w14:paraId="17092256" w14:textId="77777777" w:rsidTr="00E86457">
        <w:tc>
          <w:tcPr>
            <w:tcW w:w="262" w:type="pct"/>
            <w:vAlign w:val="center"/>
          </w:tcPr>
          <w:p w14:paraId="62C9529D" w14:textId="6FC852A2" w:rsidR="007B2C52" w:rsidRPr="00E86457" w:rsidRDefault="00886E7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(3)</w:t>
            </w:r>
          </w:p>
        </w:tc>
        <w:tc>
          <w:tcPr>
            <w:tcW w:w="4738" w:type="pct"/>
            <w:vAlign w:val="center"/>
          </w:tcPr>
          <w:p w14:paraId="4FF0A4F5" w14:textId="77777777" w:rsidR="00192D3D" w:rsidRDefault="00192D3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2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Текущие ожидаемые со стороны перестраховщиков выплаты перестрахованной</w:t>
            </w:r>
            <w:r w:rsidR="001469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 убытков </w:t>
            </w:r>
          </w:p>
          <w:p w14:paraId="52801742" w14:textId="7B735DA7" w:rsidR="007B2C52" w:rsidRPr="00E86457" w:rsidRDefault="00192D3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A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учета НВПДВ</w:t>
            </w:r>
          </w:p>
        </w:tc>
      </w:tr>
      <w:tr w:rsidR="007B2C52" w:rsidRPr="00192D3D" w14:paraId="7128DE15" w14:textId="77777777" w:rsidTr="00E86457">
        <w:tc>
          <w:tcPr>
            <w:tcW w:w="262" w:type="pct"/>
            <w:vAlign w:val="center"/>
          </w:tcPr>
          <w:p w14:paraId="3FAAA93E" w14:textId="48AF2D40" w:rsidR="007B2C52" w:rsidRPr="00E86457" w:rsidRDefault="00886E7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(4)</w:t>
            </w:r>
          </w:p>
        </w:tc>
        <w:tc>
          <w:tcPr>
            <w:tcW w:w="4738" w:type="pct"/>
            <w:vAlign w:val="center"/>
          </w:tcPr>
          <w:p w14:paraId="019200C6" w14:textId="77777777" w:rsidR="00192D3D" w:rsidRPr="00192D3D" w:rsidRDefault="00192D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2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Текущие ожидаемые со стороны перестраховщиков выплаты перестрахованной</w:t>
            </w:r>
            <w:r w:rsidR="001469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 убытков </w:t>
            </w:r>
            <w:r w:rsidRPr="00192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  <w:p w14:paraId="5476EB2C" w14:textId="2F8B0FD5" w:rsidR="007B2C52" w:rsidRPr="00E86457" w:rsidRDefault="00192D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A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дополнительных выплатах (НВПДВ)</w:t>
            </w:r>
          </w:p>
        </w:tc>
      </w:tr>
      <w:tr w:rsidR="007B2C52" w:rsidRPr="00DF2B48" w14:paraId="7C288043" w14:textId="77777777" w:rsidTr="00E86457">
        <w:tc>
          <w:tcPr>
            <w:tcW w:w="262" w:type="pct"/>
            <w:vAlign w:val="center"/>
          </w:tcPr>
          <w:p w14:paraId="4DA36D92" w14:textId="02E3B0F3" w:rsidR="007B2C52" w:rsidRPr="00E86457" w:rsidRDefault="00886E7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(5)</w:t>
            </w:r>
          </w:p>
        </w:tc>
        <w:tc>
          <w:tcPr>
            <w:tcW w:w="4738" w:type="pct"/>
            <w:vAlign w:val="center"/>
          </w:tcPr>
          <w:p w14:paraId="61CDAC64" w14:textId="77777777" w:rsidR="00192D3D" w:rsidRPr="00192D3D" w:rsidRDefault="00192D3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2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Текущие ожидаемые со стороны перестраховщиков выплаты перестрахованной</w:t>
            </w:r>
            <w:r w:rsidR="001469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 убытков </w:t>
            </w:r>
            <w:r w:rsidRPr="00192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</w:t>
            </w:r>
          </w:p>
          <w:p w14:paraId="47DCC96F" w14:textId="5D22F6EB" w:rsidR="007B2C52" w:rsidRPr="00E86457" w:rsidRDefault="00192D3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2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стоимости опций и гарантий</w:t>
            </w:r>
          </w:p>
        </w:tc>
      </w:tr>
      <w:tr w:rsidR="007B2C52" w:rsidRPr="00D365E9" w14:paraId="3E070250" w14:textId="77777777" w:rsidTr="00E86457">
        <w:tc>
          <w:tcPr>
            <w:tcW w:w="262" w:type="pct"/>
            <w:vAlign w:val="center"/>
          </w:tcPr>
          <w:p w14:paraId="0D995745" w14:textId="41B17C37" w:rsidR="007B2C52" w:rsidRPr="00E86457" w:rsidRDefault="00886E7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(6)</w:t>
            </w:r>
          </w:p>
        </w:tc>
        <w:tc>
          <w:tcPr>
            <w:tcW w:w="4738" w:type="pct"/>
            <w:vAlign w:val="center"/>
          </w:tcPr>
          <w:p w14:paraId="38CD7B7B" w14:textId="4043D104" w:rsidR="007B2C52" w:rsidRPr="00E86457" w:rsidRDefault="00192D3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Исходящие денежные потоки [=(7)]</w:t>
            </w:r>
          </w:p>
        </w:tc>
      </w:tr>
      <w:tr w:rsidR="007B2C52" w:rsidRPr="00DF2B48" w14:paraId="00A06358" w14:textId="77777777" w:rsidTr="00E86457">
        <w:tc>
          <w:tcPr>
            <w:tcW w:w="262" w:type="pct"/>
            <w:vAlign w:val="center"/>
          </w:tcPr>
          <w:p w14:paraId="27C80C40" w14:textId="001A9FF3" w:rsidR="007B2C52" w:rsidRPr="00E86457" w:rsidRDefault="00886E7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(7)</w:t>
            </w:r>
          </w:p>
        </w:tc>
        <w:tc>
          <w:tcPr>
            <w:tcW w:w="4738" w:type="pct"/>
            <w:vAlign w:val="center"/>
          </w:tcPr>
          <w:p w14:paraId="2DF08EBB" w14:textId="7280AB1D" w:rsidR="007B2C52" w:rsidRPr="00E86457" w:rsidRDefault="00192D3D" w:rsidP="00E864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2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Текущая ожидаемая стоимость перестраховочной премии, уплачиваемой</w:t>
            </w:r>
            <w:r w:rsidR="001469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86E7D" w:rsidRPr="00E86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Перестраховщику</w:t>
            </w:r>
          </w:p>
        </w:tc>
      </w:tr>
    </w:tbl>
    <w:p w14:paraId="076BD185" w14:textId="294F0B4F" w:rsidR="002D5E50" w:rsidRPr="00E86457" w:rsidRDefault="002D5E50" w:rsidP="00E86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При заполнении блока </w:t>
      </w:r>
      <w:r w:rsidR="00146920" w:rsidRPr="0014692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>Ожидаемые возмещения по перестрахованию</w:t>
      </w:r>
      <w:r w:rsidR="00146920" w:rsidRPr="0014692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 каждой таблицы необходимо руководствоваться следующим:</w:t>
      </w:r>
    </w:p>
    <w:p w14:paraId="6F7C1FD5" w14:textId="1BD2A509" w:rsidR="007B2C52" w:rsidRPr="00E86457" w:rsidRDefault="002D5E50" w:rsidP="00E86457">
      <w:pPr>
        <w:pStyle w:val="bullets"/>
      </w:pPr>
      <w:r w:rsidRPr="00E86457">
        <w:t xml:space="preserve">аналогично блоку </w:t>
      </w:r>
      <w:r w:rsidR="00146920" w:rsidRPr="00146920">
        <w:t>«</w:t>
      </w:r>
      <w:r w:rsidRPr="00E86457">
        <w:t>Наилучшая оценка</w:t>
      </w:r>
      <w:r w:rsidR="00146920" w:rsidRPr="00146920">
        <w:t>»</w:t>
      </w:r>
      <w:r w:rsidR="007B0B0C" w:rsidRPr="00E86457">
        <w:t>:</w:t>
      </w:r>
    </w:p>
    <w:p w14:paraId="1CB631A8" w14:textId="6378476D" w:rsidR="002D5E50" w:rsidRPr="00E86457" w:rsidRDefault="00146920" w:rsidP="00E86457">
      <w:pPr>
        <w:pStyle w:val="Bullets2"/>
      </w:pPr>
      <w:r>
        <w:t>н</w:t>
      </w:r>
      <w:r w:rsidR="002D5E50" w:rsidRPr="00E86457">
        <w:t xml:space="preserve">а каждом листе блок </w:t>
      </w:r>
      <w:r w:rsidRPr="00146920">
        <w:t>«</w:t>
      </w:r>
      <w:r w:rsidR="002D5E50" w:rsidRPr="00E86457">
        <w:t>Ожидаемые возмещения по перестрахованию</w:t>
      </w:r>
      <w:r w:rsidRPr="00146920">
        <w:t>»</w:t>
      </w:r>
      <w:r w:rsidR="002D5E50" w:rsidRPr="00E86457">
        <w:t xml:space="preserve"> каждой таблицы рассчитывается на тех же полисных данных, на тех же моделях и на ту же отчетную дату (31.12.2017), которые применялись для расчета таблицы 6 во время заполнения этого листа для целей КИ1. Соответственно, не предполагаются ни какие-либо изменения сегментации бизнеса на 31.12.2017, ни какие-либо изменения моделей для расчета наилучшей оценки, которые (модели и сегментация) уже использовались для целей КИ1</w:t>
      </w:r>
      <w:r w:rsidR="00F126CE" w:rsidRPr="00E86457">
        <w:t>;</w:t>
      </w:r>
    </w:p>
    <w:p w14:paraId="5296B2C2" w14:textId="6A90DA12" w:rsidR="002D5E50" w:rsidRPr="00E86457" w:rsidRDefault="00146920" w:rsidP="00E86457">
      <w:pPr>
        <w:pStyle w:val="Bullets2"/>
      </w:pPr>
      <w:r>
        <w:t>н</w:t>
      </w:r>
      <w:r w:rsidR="002D5E50" w:rsidRPr="00E86457">
        <w:t xml:space="preserve">а каждом листе блок </w:t>
      </w:r>
      <w:r w:rsidRPr="00146920">
        <w:t>«</w:t>
      </w:r>
      <w:r w:rsidR="002D5E50" w:rsidRPr="00E86457">
        <w:t>Ожидаемые возмещения по перестрахованию</w:t>
      </w:r>
      <w:r w:rsidRPr="00146920">
        <w:t>»</w:t>
      </w:r>
      <w:r w:rsidR="002D5E50" w:rsidRPr="00E86457">
        <w:t xml:space="preserve"> каждой таблицы рассчитывается на тех же предположениях (базовый сценарий), кроме одного шокируемого предположения, которые применялись для расчета таблицы 6 во время заполнения этого листа для целей КИ1</w:t>
      </w:r>
      <w:r w:rsidR="00F126CE" w:rsidRPr="00E86457">
        <w:t>;</w:t>
      </w:r>
    </w:p>
    <w:p w14:paraId="71705F23" w14:textId="520AE3EB" w:rsidR="00F126CE" w:rsidRPr="00E86457" w:rsidRDefault="00146920" w:rsidP="00E86457">
      <w:pPr>
        <w:pStyle w:val="Bullets2"/>
      </w:pPr>
      <w:r>
        <w:t>ш</w:t>
      </w:r>
      <w:r w:rsidR="002D5E50" w:rsidRPr="00E86457">
        <w:t>окируемое предположение, а также описание применения к нему шока и величины этого шока приведены курсивом в заголовке каждой таблицы</w:t>
      </w:r>
      <w:r w:rsidR="00F126CE" w:rsidRPr="00E86457">
        <w:t>;</w:t>
      </w:r>
    </w:p>
    <w:p w14:paraId="7904077B" w14:textId="06D6801F" w:rsidR="002D5E50" w:rsidRPr="00E86457" w:rsidRDefault="00146920" w:rsidP="00E86457">
      <w:pPr>
        <w:pStyle w:val="Bullets2"/>
      </w:pPr>
      <w:r>
        <w:t>к</w:t>
      </w:r>
      <w:r w:rsidR="002D5E50" w:rsidRPr="00E86457">
        <w:t xml:space="preserve">аждая из таблиц рассчитывается только с одним предположением из базового сценария, к которому (предположению) применяется шок. Соответственно, одновременное </w:t>
      </w:r>
      <w:proofErr w:type="spellStart"/>
      <w:r w:rsidR="002D5E50" w:rsidRPr="00E86457">
        <w:t>шокирование</w:t>
      </w:r>
      <w:proofErr w:type="spellEnd"/>
      <w:r w:rsidR="002D5E50" w:rsidRPr="00E86457">
        <w:t xml:space="preserve"> (изменение) двух и более предположений базового сценария при расчете какой-либо одной таблицы не предполагается</w:t>
      </w:r>
      <w:r w:rsidR="00F126CE" w:rsidRPr="00E86457">
        <w:t>;</w:t>
      </w:r>
    </w:p>
    <w:p w14:paraId="04684D64" w14:textId="6DFDDF41" w:rsidR="002D5E50" w:rsidRPr="00E86457" w:rsidRDefault="00146920" w:rsidP="00E86457">
      <w:pPr>
        <w:pStyle w:val="Bullets2"/>
      </w:pPr>
      <w:r>
        <w:t>е</w:t>
      </w:r>
      <w:r w:rsidR="002D5E50" w:rsidRPr="00E86457">
        <w:t>сли какое-либо предположение, из указанных как шокируемое в таблицах на каком-либо листе 4.1–5.0, не влияет на величину наилучшей оценки для бизнеса, отраженного на этом листе, то такая таблица на этом листе не заполняется</w:t>
      </w:r>
      <w:r w:rsidR="00F126CE" w:rsidRPr="00E86457">
        <w:t>;</w:t>
      </w:r>
    </w:p>
    <w:p w14:paraId="306DB2EC" w14:textId="3F6AB115" w:rsidR="002D5E50" w:rsidRPr="00E86457" w:rsidRDefault="00146920" w:rsidP="00E86457">
      <w:pPr>
        <w:pStyle w:val="Bullets2"/>
      </w:pPr>
      <w:r>
        <w:t>н</w:t>
      </w:r>
      <w:r w:rsidR="002D5E50" w:rsidRPr="00E86457">
        <w:t>аличие шоков не приводит к изменению подходов к распределению бонусов. То есть методология распределения бонусов и параметры распределения остаются такими же, как и для базового сценария без шоков</w:t>
      </w:r>
      <w:r w:rsidR="00F126CE" w:rsidRPr="00E86457">
        <w:t>;</w:t>
      </w:r>
    </w:p>
    <w:p w14:paraId="7B75C70C" w14:textId="6BD5E6FD" w:rsidR="002D5E50" w:rsidRPr="00E86457" w:rsidRDefault="00146920" w:rsidP="00E86457">
      <w:pPr>
        <w:pStyle w:val="Bullets2"/>
      </w:pPr>
      <w:r>
        <w:lastRenderedPageBreak/>
        <w:t>п</w:t>
      </w:r>
      <w:r w:rsidR="002D5E50" w:rsidRPr="00E86457">
        <w:t xml:space="preserve">ри расчете блока </w:t>
      </w:r>
      <w:r w:rsidRPr="00146920">
        <w:t>«</w:t>
      </w:r>
      <w:r w:rsidR="002D5E50" w:rsidRPr="00E86457">
        <w:t>Ожидаемые возмещения по перестрахованию</w:t>
      </w:r>
      <w:r w:rsidRPr="00146920">
        <w:t>»</w:t>
      </w:r>
      <w:r w:rsidR="002D5E50" w:rsidRPr="00E86457">
        <w:t xml:space="preserve"> каждой таблицы на каждом листе 4.1–5.0 следует указывать только полученные суммы для сценария с шокируемым предположением, а не разницы между этими суммами и суммами, полученными во время расчета наилучшей оценки </w:t>
      </w:r>
      <w:r w:rsidR="00886E7D" w:rsidRPr="00E86457">
        <w:t>при проведении</w:t>
      </w:r>
      <w:r w:rsidR="002D5E50" w:rsidRPr="00E86457">
        <w:t xml:space="preserve"> КИ1</w:t>
      </w:r>
      <w:r w:rsidR="00302B2C" w:rsidRPr="00E86457">
        <w:t>;</w:t>
      </w:r>
    </w:p>
    <w:p w14:paraId="706203DA" w14:textId="3A98C775" w:rsidR="002D5E50" w:rsidRPr="00E86457" w:rsidRDefault="002D5E50" w:rsidP="00E86457">
      <w:pPr>
        <w:pStyle w:val="bullets"/>
        <w:keepNext/>
        <w:keepLines/>
      </w:pPr>
      <w:r w:rsidRPr="00E86457">
        <w:t xml:space="preserve">специфично непосредственно блоку </w:t>
      </w:r>
      <w:r w:rsidR="00146920" w:rsidRPr="00146920">
        <w:t>«</w:t>
      </w:r>
      <w:r w:rsidRPr="00E86457">
        <w:t>Ожидаемые возмещения по перестрахованию</w:t>
      </w:r>
      <w:r w:rsidR="00146920" w:rsidRPr="00146920">
        <w:t>»</w:t>
      </w:r>
      <w:r w:rsidR="007B0B0C" w:rsidRPr="00E86457">
        <w:t>:</w:t>
      </w:r>
    </w:p>
    <w:p w14:paraId="185793C5" w14:textId="6C404B69" w:rsidR="002D5E50" w:rsidRPr="00E86457" w:rsidRDefault="00146920" w:rsidP="00E86457">
      <w:pPr>
        <w:pStyle w:val="Bullets2"/>
      </w:pPr>
      <w:r>
        <w:t>с</w:t>
      </w:r>
      <w:r w:rsidR="002D5E50" w:rsidRPr="00E86457">
        <w:t xml:space="preserve">трока </w:t>
      </w:r>
      <w:r w:rsidRPr="00146920">
        <w:t>«</w:t>
      </w:r>
      <w:r w:rsidR="002D5E50" w:rsidRPr="00E86457">
        <w:t>Итого ожидаемые возмещения по перестрахованию с учетом дефолта</w:t>
      </w:r>
      <w:r w:rsidR="00D365E9" w:rsidRPr="00146920">
        <w:t>»</w:t>
      </w:r>
      <w:r w:rsidR="002D5E50" w:rsidRPr="00E86457">
        <w:t xml:space="preserve"> для каждого отдельного сегмента РОПР является суммой всех строк </w:t>
      </w:r>
      <w:r w:rsidR="00D365E9" w:rsidRPr="00146920">
        <w:t>«</w:t>
      </w:r>
      <w:r w:rsidR="002D5E50" w:rsidRPr="00E86457">
        <w:t>Итого ожидаемые возмещения по перестрахованию с учетом дефолта на 31.12.2017 по [риску ХХХХ]</w:t>
      </w:r>
      <w:r w:rsidR="00D365E9" w:rsidRPr="00146920">
        <w:t>»</w:t>
      </w:r>
      <w:r w:rsidR="002D5E50" w:rsidRPr="00E86457">
        <w:t xml:space="preserve">, заполняемых в таблице 6 при проведении КИ1 для этого сегмента РОПР. При этом для целей текущего анализа каждая строка </w:t>
      </w:r>
      <w:r w:rsidR="00D365E9" w:rsidRPr="00146920">
        <w:t>«</w:t>
      </w:r>
      <w:r w:rsidR="002D5E50" w:rsidRPr="00E86457">
        <w:t>Итого ожидаемые возмещения по перестрахованию с учетом дефолта на 31.12.2017 по [риску ХХХХ]</w:t>
      </w:r>
      <w:r w:rsidR="00D365E9" w:rsidRPr="00146920">
        <w:t>»</w:t>
      </w:r>
      <w:r w:rsidR="002D5E50" w:rsidRPr="00E86457">
        <w:t xml:space="preserve"> рассчитывается на шокируемых предположениях</w:t>
      </w:r>
      <w:r w:rsidR="00106E2F" w:rsidRPr="00E86457">
        <w:t>;</w:t>
      </w:r>
    </w:p>
    <w:p w14:paraId="38EF03A5" w14:textId="7A4B6A27" w:rsidR="00106E2F" w:rsidRPr="00E86457" w:rsidRDefault="00146920" w:rsidP="00E86457">
      <w:pPr>
        <w:pStyle w:val="Bullets2"/>
        <w:rPr>
          <w:spacing w:val="-2"/>
        </w:rPr>
      </w:pPr>
      <w:r w:rsidRPr="00E86457">
        <w:rPr>
          <w:spacing w:val="-2"/>
        </w:rPr>
        <w:t>д</w:t>
      </w:r>
      <w:r w:rsidR="002D5E50" w:rsidRPr="00E86457">
        <w:rPr>
          <w:spacing w:val="-2"/>
        </w:rPr>
        <w:t xml:space="preserve">ля целей текущего анализа требуется более детализированная разбивка по денежным потокам по исходящему перестрахованию, чем для целей КИ1, поэтому также отдельно запрашиваются </w:t>
      </w:r>
      <w:r w:rsidR="00D365E9" w:rsidRPr="00E86457">
        <w:rPr>
          <w:spacing w:val="-2"/>
        </w:rPr>
        <w:t>«</w:t>
      </w:r>
      <w:r w:rsidR="002D5E50" w:rsidRPr="00E86457">
        <w:rPr>
          <w:spacing w:val="-2"/>
        </w:rPr>
        <w:t>Входящие денежные потоки</w:t>
      </w:r>
      <w:r w:rsidR="00D365E9" w:rsidRPr="00E86457">
        <w:rPr>
          <w:spacing w:val="-2"/>
        </w:rPr>
        <w:t>»</w:t>
      </w:r>
      <w:r w:rsidR="002D5E50" w:rsidRPr="00E86457">
        <w:rPr>
          <w:spacing w:val="-2"/>
        </w:rPr>
        <w:t xml:space="preserve"> (в</w:t>
      </w:r>
      <w:r w:rsidR="00D365E9" w:rsidRPr="00E86457">
        <w:rPr>
          <w:spacing w:val="-2"/>
        </w:rPr>
        <w:t> </w:t>
      </w:r>
      <w:r w:rsidR="002D5E50" w:rsidRPr="00E86457">
        <w:rPr>
          <w:spacing w:val="-2"/>
        </w:rPr>
        <w:t xml:space="preserve">разбивке) и </w:t>
      </w:r>
      <w:r w:rsidR="00D365E9" w:rsidRPr="00E86457">
        <w:rPr>
          <w:spacing w:val="-2"/>
        </w:rPr>
        <w:t>«</w:t>
      </w:r>
      <w:r w:rsidR="002D5E50" w:rsidRPr="00E86457">
        <w:rPr>
          <w:spacing w:val="-2"/>
        </w:rPr>
        <w:t>Исходящие денежные потоки</w:t>
      </w:r>
      <w:r w:rsidR="00D365E9" w:rsidRPr="00E86457">
        <w:rPr>
          <w:spacing w:val="-2"/>
        </w:rPr>
        <w:t>»</w:t>
      </w:r>
      <w:r w:rsidR="002D5E50" w:rsidRPr="00E86457">
        <w:rPr>
          <w:spacing w:val="-2"/>
        </w:rPr>
        <w:t xml:space="preserve">, как составляющие позиции </w:t>
      </w:r>
      <w:r w:rsidR="00D365E9" w:rsidRPr="00E86457">
        <w:rPr>
          <w:spacing w:val="-2"/>
        </w:rPr>
        <w:t>«</w:t>
      </w:r>
      <w:r w:rsidR="002D5E50" w:rsidRPr="00E86457">
        <w:rPr>
          <w:spacing w:val="-2"/>
        </w:rPr>
        <w:t>Итого ожидаемые возмещения по перестрахованию с учетом дефолта</w:t>
      </w:r>
      <w:r w:rsidR="00D365E9" w:rsidRPr="00E86457">
        <w:rPr>
          <w:spacing w:val="-2"/>
        </w:rPr>
        <w:t>»</w:t>
      </w:r>
      <w:r w:rsidR="002D5E50" w:rsidRPr="00E86457">
        <w:rPr>
          <w:spacing w:val="-2"/>
        </w:rPr>
        <w:t xml:space="preserve">. Взаимосвязь составляющих позиции </w:t>
      </w:r>
      <w:r w:rsidR="00D365E9" w:rsidRPr="00E86457">
        <w:rPr>
          <w:spacing w:val="-2"/>
        </w:rPr>
        <w:t>«</w:t>
      </w:r>
      <w:r w:rsidR="002D5E50" w:rsidRPr="00E86457">
        <w:rPr>
          <w:spacing w:val="-2"/>
        </w:rPr>
        <w:t>Итого ожидаемые возмещения по перестрахованию с учетом дефолта</w:t>
      </w:r>
      <w:r w:rsidR="00D365E9" w:rsidRPr="00E86457">
        <w:rPr>
          <w:spacing w:val="-2"/>
        </w:rPr>
        <w:t>»</w:t>
      </w:r>
      <w:r w:rsidR="002D5E50" w:rsidRPr="00E86457">
        <w:rPr>
          <w:spacing w:val="-2"/>
        </w:rPr>
        <w:t xml:space="preserve"> с самой этой позицией приведена выше в</w:t>
      </w:r>
      <w:r w:rsidR="00886E7D" w:rsidRPr="00E86457">
        <w:rPr>
          <w:spacing w:val="-2"/>
        </w:rPr>
        <w:t xml:space="preserve"> таблице, отражающей</w:t>
      </w:r>
      <w:r w:rsidR="002D5E50" w:rsidRPr="00E86457">
        <w:rPr>
          <w:spacing w:val="-2"/>
        </w:rPr>
        <w:t xml:space="preserve"> </w:t>
      </w:r>
      <w:r w:rsidR="00886E7D" w:rsidRPr="00E86457">
        <w:rPr>
          <w:spacing w:val="-2"/>
        </w:rPr>
        <w:t>структуру</w:t>
      </w:r>
      <w:r w:rsidR="002D5E50" w:rsidRPr="00E86457">
        <w:rPr>
          <w:spacing w:val="-2"/>
        </w:rPr>
        <w:t xml:space="preserve"> блока </w:t>
      </w:r>
      <w:r w:rsidR="00D365E9" w:rsidRPr="00E86457">
        <w:rPr>
          <w:spacing w:val="-2"/>
        </w:rPr>
        <w:t>«</w:t>
      </w:r>
      <w:r w:rsidR="002D5E50" w:rsidRPr="00E86457">
        <w:rPr>
          <w:spacing w:val="-2"/>
        </w:rPr>
        <w:t>Ожидаемые возмещения по перестрахованию</w:t>
      </w:r>
      <w:r w:rsidR="00D365E9" w:rsidRPr="00E86457">
        <w:rPr>
          <w:spacing w:val="-2"/>
        </w:rPr>
        <w:t>»</w:t>
      </w:r>
      <w:r w:rsidR="00106E2F" w:rsidRPr="00E86457">
        <w:rPr>
          <w:spacing w:val="-2"/>
        </w:rPr>
        <w:t>;</w:t>
      </w:r>
    </w:p>
    <w:p w14:paraId="6D38CE95" w14:textId="17AB41DB" w:rsidR="002D5E50" w:rsidRDefault="00146920" w:rsidP="00E86457">
      <w:pPr>
        <w:pStyle w:val="Bullets2"/>
      </w:pPr>
      <w:r>
        <w:t>п</w:t>
      </w:r>
      <w:r w:rsidR="002D5E50" w:rsidRPr="00E86457">
        <w:t xml:space="preserve">ри заполнении блока </w:t>
      </w:r>
      <w:r w:rsidR="00D365E9" w:rsidRPr="00146920">
        <w:t>«</w:t>
      </w:r>
      <w:r w:rsidR="002D5E50" w:rsidRPr="00E86457">
        <w:t>Ожидаемые возмещения по перестрахованию</w:t>
      </w:r>
      <w:r w:rsidR="00D365E9" w:rsidRPr="00146920">
        <w:t>»</w:t>
      </w:r>
      <w:r w:rsidR="002D5E50" w:rsidRPr="00E86457">
        <w:t xml:space="preserve"> для каждой таблицы используются тот же портфель полисов, который использовался для заполнения блока </w:t>
      </w:r>
      <w:r w:rsidR="00D365E9" w:rsidRPr="00146920">
        <w:t>«</w:t>
      </w:r>
      <w:r w:rsidR="002D5E50" w:rsidRPr="00E86457">
        <w:t>Наилучшая оценка</w:t>
      </w:r>
      <w:r w:rsidR="00D365E9" w:rsidRPr="00146920">
        <w:t>»</w:t>
      </w:r>
      <w:r w:rsidR="002D5E50" w:rsidRPr="00E86457">
        <w:t xml:space="preserve"> для этой таблицы</w:t>
      </w:r>
      <w:r w:rsidR="00106E2F" w:rsidRPr="00E86457">
        <w:t>.</w:t>
      </w:r>
    </w:p>
    <w:p w14:paraId="7B734894" w14:textId="0F8A7701" w:rsidR="00C372E1" w:rsidRDefault="00C372E1" w:rsidP="00F37541">
      <w:pPr>
        <w:pStyle w:val="Bullets2"/>
        <w:numPr>
          <w:ilvl w:val="0"/>
          <w:numId w:val="0"/>
        </w:numPr>
      </w:pPr>
    </w:p>
    <w:p w14:paraId="4E040EFE" w14:textId="2B00DCA7" w:rsidR="00F37541" w:rsidRDefault="00F37541" w:rsidP="00F37541">
      <w:pPr>
        <w:pStyle w:val="Bullets2"/>
        <w:numPr>
          <w:ilvl w:val="0"/>
          <w:numId w:val="0"/>
        </w:numPr>
      </w:pPr>
    </w:p>
    <w:p w14:paraId="5B1DAD69" w14:textId="58DDE6DB" w:rsidR="00F37541" w:rsidRDefault="00F37541" w:rsidP="00F37541">
      <w:pPr>
        <w:pStyle w:val="Bullets2"/>
        <w:numPr>
          <w:ilvl w:val="0"/>
          <w:numId w:val="0"/>
        </w:numPr>
      </w:pPr>
    </w:p>
    <w:p w14:paraId="53EE489B" w14:textId="44B20FFD" w:rsidR="00F37541" w:rsidRDefault="00F37541" w:rsidP="00F37541">
      <w:pPr>
        <w:pStyle w:val="Bullets2"/>
        <w:numPr>
          <w:ilvl w:val="0"/>
          <w:numId w:val="0"/>
        </w:numPr>
      </w:pPr>
    </w:p>
    <w:p w14:paraId="7E1C3BEA" w14:textId="181591C3" w:rsidR="00F37541" w:rsidRDefault="00F37541" w:rsidP="00F37541">
      <w:pPr>
        <w:pStyle w:val="Bullets2"/>
        <w:numPr>
          <w:ilvl w:val="0"/>
          <w:numId w:val="0"/>
        </w:numPr>
      </w:pPr>
    </w:p>
    <w:p w14:paraId="0E859F3D" w14:textId="7BBFAB47" w:rsidR="00F37541" w:rsidRDefault="00F37541" w:rsidP="00F37541">
      <w:pPr>
        <w:pStyle w:val="Bullets2"/>
        <w:numPr>
          <w:ilvl w:val="0"/>
          <w:numId w:val="0"/>
        </w:numPr>
      </w:pPr>
    </w:p>
    <w:p w14:paraId="031AAF98" w14:textId="4FAE8379" w:rsidR="00F37541" w:rsidRDefault="00F37541" w:rsidP="00F37541">
      <w:pPr>
        <w:pStyle w:val="Bullets2"/>
        <w:numPr>
          <w:ilvl w:val="0"/>
          <w:numId w:val="0"/>
        </w:numPr>
      </w:pPr>
    </w:p>
    <w:p w14:paraId="0594A696" w14:textId="36C07667" w:rsidR="00C372E1" w:rsidRPr="00F37541" w:rsidRDefault="00F37541" w:rsidP="00F37541">
      <w:pPr>
        <w:pStyle w:val="1"/>
        <w:numPr>
          <w:ilvl w:val="0"/>
          <w:numId w:val="0"/>
        </w:numPr>
        <w:ind w:left="567" w:hanging="567"/>
        <w:jc w:val="center"/>
        <w:rPr>
          <w:rFonts w:eastAsiaTheme="majorEastAsia"/>
          <w:b/>
          <w:bCs w:val="0"/>
          <w:color w:val="auto"/>
          <w:lang w:val="ru-RU"/>
        </w:rPr>
      </w:pPr>
      <w:r w:rsidRPr="00F37541">
        <w:rPr>
          <w:rFonts w:eastAsiaTheme="majorEastAsia"/>
          <w:b/>
          <w:bCs w:val="0"/>
          <w:color w:val="auto"/>
          <w:lang w:val="ru-RU"/>
        </w:rPr>
        <w:lastRenderedPageBreak/>
        <w:t>Приложение 1</w:t>
      </w:r>
    </w:p>
    <w:p w14:paraId="4F99EF97" w14:textId="6E17FCC9" w:rsidR="00F37541" w:rsidRPr="00BF1BA6" w:rsidRDefault="00F37541" w:rsidP="00BF1BA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Используемые для целей КИ1 принципы разделения</w:t>
      </w:r>
      <w:r w:rsidRPr="00E86457">
        <w:rPr>
          <w:rFonts w:ascii="Times New Roman" w:hAnsi="Times New Roman" w:cs="Times New Roman"/>
          <w:sz w:val="24"/>
          <w:szCs w:val="24"/>
          <w:lang w:val="ru-RU"/>
        </w:rPr>
        <w:t xml:space="preserve"> бизнеса на (а) страхование жизни, или на (б) страхование иное, чем страхование жизни</w:t>
      </w:r>
      <w:r w:rsidR="00BF1BA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E9AE04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1E4429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1DDF08F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66AD055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A4F7707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918DA7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8FA264F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563DB22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B34E735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DC8B1F7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C4E773D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A0E7A77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BC7A1EF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0DF0DA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50B0B5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DC1287C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1198D47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6487CE0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7BBEE76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E3AD3E1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95CB086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5E4462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01A4E9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2B6B8E5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CEF2410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29DB3A4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2C4260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59E024D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0EFFE7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EC21CE7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1E966D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C1A2E3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6880FEC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21A873F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83AE10B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1EAE333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6B3ACC2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D8F7270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414DBBB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227E46F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0D246B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5DF0A15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A7D5EF5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5660281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355C011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7FF608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65EA035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F85BEE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13EDF20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2EF06F4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67A384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3651C7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7E1EBD7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A306E83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7F5E256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B32145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69BD3D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4D99AB4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F2BA5EF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DB90D62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424A61C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B843A04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7106C3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ABC966F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6D5FC62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2B51912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EBAD81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18B588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1BB8AF4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D59C98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F7E31B1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1550D1B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DCC1F47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55ABB71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5F0F804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9BEB23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9A19775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CF8EB6B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6054D1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497CE0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A715017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095BDC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9E6513D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80126E6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EF663F7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5E0BEF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07E657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0683E2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6FE300C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2A1391D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CD89AE4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C4807D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43C7B66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636F10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552A39B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951682F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750860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D95909D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29CFBF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2ADF1DB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5C57C0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78D76F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4E0422C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4E7A550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85AEC41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BFB4D40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9794DC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E2E79E3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3F461E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98472E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C1BDD61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FC35EB6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042CA7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6FC5B65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EE8F0D8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6B5B395D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1E66ACDE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163B0CD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401BFC43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C77D86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73C3265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7D02D18F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B57F0E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DDA3981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5D60A15C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E9A7D0C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3BFB34A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281EFC9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0A26D844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24D2924B" w14:textId="77777777" w:rsidR="00F37541" w:rsidRPr="00F37541" w:rsidRDefault="00F37541" w:rsidP="00F37541">
      <w:pPr>
        <w:pStyle w:val="a3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val="ru"/>
        </w:rPr>
      </w:pPr>
    </w:p>
    <w:p w14:paraId="324EF0E6" w14:textId="0F4352F7" w:rsidR="00F37541" w:rsidRPr="000A31D8" w:rsidRDefault="00F37541" w:rsidP="00F37541">
      <w:pPr>
        <w:pStyle w:val="NumberedlistL1"/>
        <w:tabs>
          <w:tab w:val="clear" w:pos="360"/>
        </w:tabs>
        <w:ind w:left="360" w:hanging="360"/>
      </w:pPr>
      <w:r w:rsidRPr="000A31D8">
        <w:rPr>
          <w:lang w:val="ru"/>
        </w:rPr>
        <w:t>Обязательства по страхованию и перестрахованию должны быть разделены по сегментам страхования, которые наилучшим образом отражают характер основных рисков группы договоров страхования. В частности, при сегментации следует соблюдать принцип приоритета содержания над формой. Другими словами, сегментация должна отражать характер рисков, лежащих в основе договора страхования/</w:t>
      </w:r>
      <w:proofErr w:type="spellStart"/>
      <w:r w:rsidRPr="000A31D8">
        <w:rPr>
          <w:lang w:val="ru"/>
        </w:rPr>
        <w:t>сострахования</w:t>
      </w:r>
      <w:proofErr w:type="spellEnd"/>
      <w:r w:rsidRPr="000A31D8">
        <w:rPr>
          <w:lang w:val="ru"/>
        </w:rPr>
        <w:t>/перестрахования (содержание), а не юридическое оформление договора (форму).</w:t>
      </w:r>
    </w:p>
    <w:p w14:paraId="197C6B71" w14:textId="77777777" w:rsidR="00F37541" w:rsidRPr="000A31D8" w:rsidRDefault="00F37541" w:rsidP="00F37541">
      <w:pPr>
        <w:pStyle w:val="NumberedlistL1"/>
        <w:tabs>
          <w:tab w:val="clear" w:pos="360"/>
        </w:tabs>
        <w:ind w:left="360" w:hanging="360"/>
      </w:pPr>
      <w:r w:rsidRPr="000A31D8">
        <w:rPr>
          <w:lang w:val="ru"/>
        </w:rPr>
        <w:t>Таким образом, разделение по сегментам может не соответствовать полностью или в части установленной законодательством классификации видов страхования по страхованию жизни и по страхованию иному, чем страхование жизни, которая используется для выдачи лицензий на ведение страховой деятельности.</w:t>
      </w:r>
    </w:p>
    <w:p w14:paraId="55329741" w14:textId="77777777" w:rsidR="00F37541" w:rsidRPr="000A31D8" w:rsidRDefault="00F37541" w:rsidP="00F37541">
      <w:pPr>
        <w:pStyle w:val="NumberedlistL1"/>
        <w:tabs>
          <w:tab w:val="clear" w:pos="360"/>
        </w:tabs>
        <w:ind w:left="360" w:hanging="360"/>
      </w:pPr>
      <w:r w:rsidRPr="000A31D8">
        <w:t>Обязательства по договорам страхования должны относиться к страхованию жизни или страхованию иному, чем страхование жизни. Такой подход может не совпадать с правовым подходом к определению деятельности по страхованию жизни и страхованию иному, чем страхование жизни, или правовым подходом к определению договоров страхования жизни и договоров страхования иного, чем страхование жизни. Различие между обязательствами по страхованию жизни и по страхованию иному, чем страхование жизни, должно основываться на характере риска, связанного с обязательством</w:t>
      </w:r>
      <w:r w:rsidRPr="000A31D8">
        <w:rPr>
          <w:lang w:val="ru"/>
        </w:rPr>
        <w:t>:</w:t>
      </w:r>
    </w:p>
    <w:p w14:paraId="10E18437" w14:textId="77777777" w:rsidR="00F37541" w:rsidRPr="000A31D8" w:rsidRDefault="00F37541" w:rsidP="00F37541">
      <w:pPr>
        <w:pStyle w:val="Numberedlistl2"/>
        <w:numPr>
          <w:ilvl w:val="0"/>
          <w:numId w:val="36"/>
        </w:numPr>
        <w:ind w:left="924" w:hanging="567"/>
      </w:pPr>
      <w:r w:rsidRPr="000A31D8">
        <w:t>Страховые обязательства должны относиться к обязательствам по страхованию жизни, если бизнес осуществляется с применением технических методов, аналогичных тем, которые используются в страховании жизни, даже если с юридической точки зрения они являются обязательствами по страхованию иному, чем страхование жизни.</w:t>
      </w:r>
    </w:p>
    <w:p w14:paraId="3699DF2A" w14:textId="77777777" w:rsidR="00F37541" w:rsidRPr="000A31D8" w:rsidRDefault="00F37541" w:rsidP="00F37541">
      <w:pPr>
        <w:pStyle w:val="Numberedlistl2"/>
        <w:numPr>
          <w:ilvl w:val="0"/>
          <w:numId w:val="36"/>
        </w:numPr>
        <w:ind w:left="924" w:hanging="567"/>
      </w:pPr>
      <w:r w:rsidRPr="000A31D8">
        <w:t>Страховые обязательства должны относиться к обязательствам по страхованию иному, чем страхование жизни, если бизнес осуществляется с применением технических методов, аналогичных тем, которые используются в страховании ином, чем страхование жизни, даже если с юридической точки зрения они являются обязательствами по страхованию жизни.</w:t>
      </w:r>
      <w:bookmarkStart w:id="0" w:name="_GoBack"/>
      <w:bookmarkEnd w:id="0"/>
    </w:p>
    <w:sectPr w:rsidR="00F37541" w:rsidRPr="000A31D8" w:rsidSect="00E86457">
      <w:foot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F4AB" w14:textId="77777777" w:rsidR="00824B25" w:rsidRDefault="00824B25" w:rsidP="00301777">
      <w:pPr>
        <w:spacing w:after="0" w:line="240" w:lineRule="auto"/>
      </w:pPr>
      <w:r>
        <w:separator/>
      </w:r>
    </w:p>
  </w:endnote>
  <w:endnote w:type="continuationSeparator" w:id="0">
    <w:p w14:paraId="17BEDFD1" w14:textId="77777777" w:rsidR="00824B25" w:rsidRDefault="00824B25" w:rsidP="0030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93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807B9DF" w14:textId="4B292DB8" w:rsidR="0050402B" w:rsidRPr="00E86457" w:rsidRDefault="0050402B" w:rsidP="00E86457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864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645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64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2B48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E8645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8D6CC" w14:textId="77777777" w:rsidR="00824B25" w:rsidRDefault="00824B25" w:rsidP="00301777">
      <w:pPr>
        <w:spacing w:after="0" w:line="240" w:lineRule="auto"/>
      </w:pPr>
      <w:r>
        <w:separator/>
      </w:r>
    </w:p>
  </w:footnote>
  <w:footnote w:type="continuationSeparator" w:id="0">
    <w:p w14:paraId="1CA22A35" w14:textId="77777777" w:rsidR="00824B25" w:rsidRDefault="00824B25" w:rsidP="0030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55"/>
    <w:multiLevelType w:val="hybridMultilevel"/>
    <w:tmpl w:val="C5E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F71"/>
    <w:multiLevelType w:val="hybridMultilevel"/>
    <w:tmpl w:val="12BC06DC"/>
    <w:lvl w:ilvl="0" w:tplc="5FE8D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171F"/>
    <w:multiLevelType w:val="hybridMultilevel"/>
    <w:tmpl w:val="D8B42338"/>
    <w:lvl w:ilvl="0" w:tplc="141497BE">
      <w:start w:val="1"/>
      <w:numFmt w:val="russianLower"/>
      <w:pStyle w:val="Numberedlistl2"/>
      <w:lvlText w:val="%1)"/>
      <w:lvlJc w:val="left"/>
      <w:pPr>
        <w:ind w:left="786" w:hanging="360"/>
      </w:pPr>
      <w:rPr>
        <w:rFonts w:hint="default"/>
      </w:rPr>
    </w:lvl>
    <w:lvl w:ilvl="1" w:tplc="2A00906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81336"/>
    <w:multiLevelType w:val="hybridMultilevel"/>
    <w:tmpl w:val="61686EA8"/>
    <w:lvl w:ilvl="0" w:tplc="8176F808">
      <w:start w:val="3"/>
      <w:numFmt w:val="bullet"/>
      <w:lvlText w:val="●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176F808">
      <w:start w:val="3"/>
      <w:numFmt w:val="bullet"/>
      <w:lvlText w:val="●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2405"/>
    <w:multiLevelType w:val="hybridMultilevel"/>
    <w:tmpl w:val="272E885C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A6890"/>
    <w:multiLevelType w:val="hybridMultilevel"/>
    <w:tmpl w:val="308E1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C4311"/>
    <w:multiLevelType w:val="hybridMultilevel"/>
    <w:tmpl w:val="61BA8F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09B9"/>
    <w:multiLevelType w:val="hybridMultilevel"/>
    <w:tmpl w:val="53A2CFE2"/>
    <w:lvl w:ilvl="0" w:tplc="3D44AEF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8176F808">
      <w:start w:val="3"/>
      <w:numFmt w:val="bullet"/>
      <w:lvlText w:val="●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32F32"/>
    <w:multiLevelType w:val="multilevel"/>
    <w:tmpl w:val="008C3EBE"/>
    <w:styleLink w:val="ImportedStyle82"/>
    <w:lvl w:ilvl="0">
      <w:start w:val="1"/>
      <w:numFmt w:val="decimal"/>
      <w:pStyle w:val="NumberedlistL1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pStyle w:val="NumberedlistL2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F12EBF"/>
    <w:multiLevelType w:val="hybridMultilevel"/>
    <w:tmpl w:val="1B7811F2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E7CE3"/>
    <w:multiLevelType w:val="hybridMultilevel"/>
    <w:tmpl w:val="A7504B10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27783"/>
    <w:multiLevelType w:val="hybridMultilevel"/>
    <w:tmpl w:val="60E0ECB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2CDF"/>
    <w:multiLevelType w:val="hybridMultilevel"/>
    <w:tmpl w:val="646628F6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4732B"/>
    <w:multiLevelType w:val="hybridMultilevel"/>
    <w:tmpl w:val="2DD812A4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A47BD"/>
    <w:multiLevelType w:val="hybridMultilevel"/>
    <w:tmpl w:val="13840518"/>
    <w:lvl w:ilvl="0" w:tplc="B30C72D4">
      <w:start w:val="3"/>
      <w:numFmt w:val="bullet"/>
      <w:pStyle w:val="bullets"/>
      <w:lvlText w:val="●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D23B1"/>
    <w:multiLevelType w:val="hybridMultilevel"/>
    <w:tmpl w:val="F09AD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087562"/>
    <w:multiLevelType w:val="hybridMultilevel"/>
    <w:tmpl w:val="067E9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BD660C"/>
    <w:multiLevelType w:val="hybridMultilevel"/>
    <w:tmpl w:val="4818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66A85"/>
    <w:multiLevelType w:val="hybridMultilevel"/>
    <w:tmpl w:val="203E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73962"/>
    <w:multiLevelType w:val="hybridMultilevel"/>
    <w:tmpl w:val="0D42E5B6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64A5"/>
    <w:multiLevelType w:val="hybridMultilevel"/>
    <w:tmpl w:val="A634A73C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97172"/>
    <w:multiLevelType w:val="hybridMultilevel"/>
    <w:tmpl w:val="DA744316"/>
    <w:lvl w:ilvl="0" w:tplc="C802A1EC">
      <w:start w:val="3"/>
      <w:numFmt w:val="bullet"/>
      <w:lvlText w:val="●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1CCE8F28">
      <w:start w:val="1"/>
      <w:numFmt w:val="bullet"/>
      <w:pStyle w:val="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D6CA9"/>
    <w:multiLevelType w:val="hybridMultilevel"/>
    <w:tmpl w:val="A3988920"/>
    <w:lvl w:ilvl="0" w:tplc="FAECD2AC">
      <w:start w:val="1"/>
      <w:numFmt w:val="russianLower"/>
      <w:lvlText w:val="%1)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FF5B29"/>
    <w:multiLevelType w:val="hybridMultilevel"/>
    <w:tmpl w:val="0644B842"/>
    <w:lvl w:ilvl="0" w:tplc="5FE8D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456CE"/>
    <w:multiLevelType w:val="hybridMultilevel"/>
    <w:tmpl w:val="D69E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65769"/>
    <w:multiLevelType w:val="hybridMultilevel"/>
    <w:tmpl w:val="55423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12790"/>
    <w:multiLevelType w:val="hybridMultilevel"/>
    <w:tmpl w:val="C312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813CA"/>
    <w:multiLevelType w:val="hybridMultilevel"/>
    <w:tmpl w:val="85384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B320C3"/>
    <w:multiLevelType w:val="hybridMultilevel"/>
    <w:tmpl w:val="D15E8CCE"/>
    <w:lvl w:ilvl="0" w:tplc="634255D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C560B"/>
    <w:multiLevelType w:val="multilevel"/>
    <w:tmpl w:val="C92AE11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E00717"/>
    <w:multiLevelType w:val="hybridMultilevel"/>
    <w:tmpl w:val="63FC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751B6"/>
    <w:multiLevelType w:val="hybridMultilevel"/>
    <w:tmpl w:val="DAC6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E874CD"/>
    <w:multiLevelType w:val="hybridMultilevel"/>
    <w:tmpl w:val="51ACC82A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F6E04"/>
    <w:multiLevelType w:val="hybridMultilevel"/>
    <w:tmpl w:val="55E2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82146"/>
    <w:multiLevelType w:val="hybridMultilevel"/>
    <w:tmpl w:val="AF084B68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E31F5"/>
    <w:multiLevelType w:val="hybridMultilevel"/>
    <w:tmpl w:val="DD162956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940C9"/>
    <w:multiLevelType w:val="hybridMultilevel"/>
    <w:tmpl w:val="2788DAEC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2"/>
  </w:num>
  <w:num w:numId="4">
    <w:abstractNumId w:val="33"/>
  </w:num>
  <w:num w:numId="5">
    <w:abstractNumId w:val="26"/>
  </w:num>
  <w:num w:numId="6">
    <w:abstractNumId w:val="29"/>
  </w:num>
  <w:num w:numId="7">
    <w:abstractNumId w:val="23"/>
  </w:num>
  <w:num w:numId="8">
    <w:abstractNumId w:val="1"/>
  </w:num>
  <w:num w:numId="9">
    <w:abstractNumId w:val="5"/>
  </w:num>
  <w:num w:numId="10">
    <w:abstractNumId w:val="15"/>
  </w:num>
  <w:num w:numId="11">
    <w:abstractNumId w:val="17"/>
  </w:num>
  <w:num w:numId="12">
    <w:abstractNumId w:val="25"/>
  </w:num>
  <w:num w:numId="13">
    <w:abstractNumId w:val="30"/>
  </w:num>
  <w:num w:numId="14">
    <w:abstractNumId w:val="31"/>
  </w:num>
  <w:num w:numId="15">
    <w:abstractNumId w:val="11"/>
  </w:num>
  <w:num w:numId="16">
    <w:abstractNumId w:val="27"/>
  </w:num>
  <w:num w:numId="17">
    <w:abstractNumId w:val="16"/>
  </w:num>
  <w:num w:numId="18">
    <w:abstractNumId w:val="6"/>
  </w:num>
  <w:num w:numId="19">
    <w:abstractNumId w:val="18"/>
  </w:num>
  <w:num w:numId="20">
    <w:abstractNumId w:val="19"/>
  </w:num>
  <w:num w:numId="21">
    <w:abstractNumId w:val="0"/>
  </w:num>
  <w:num w:numId="22">
    <w:abstractNumId w:val="35"/>
  </w:num>
  <w:num w:numId="23">
    <w:abstractNumId w:val="9"/>
  </w:num>
  <w:num w:numId="24">
    <w:abstractNumId w:val="34"/>
  </w:num>
  <w:num w:numId="25">
    <w:abstractNumId w:val="14"/>
  </w:num>
  <w:num w:numId="26">
    <w:abstractNumId w:val="13"/>
  </w:num>
  <w:num w:numId="27">
    <w:abstractNumId w:val="10"/>
  </w:num>
  <w:num w:numId="28">
    <w:abstractNumId w:val="4"/>
  </w:num>
  <w:num w:numId="29">
    <w:abstractNumId w:val="20"/>
  </w:num>
  <w:num w:numId="30">
    <w:abstractNumId w:val="36"/>
  </w:num>
  <w:num w:numId="31">
    <w:abstractNumId w:val="14"/>
    <w:lvlOverride w:ilvl="0">
      <w:startOverride w:val="3"/>
    </w:lvlOverride>
  </w:num>
  <w:num w:numId="32">
    <w:abstractNumId w:val="7"/>
  </w:num>
  <w:num w:numId="33">
    <w:abstractNumId w:val="3"/>
  </w:num>
  <w:num w:numId="34">
    <w:abstractNumId w:val="21"/>
  </w:num>
  <w:num w:numId="35">
    <w:abstractNumId w:val="28"/>
  </w:num>
  <w:num w:numId="36">
    <w:abstractNumId w:val="22"/>
  </w:num>
  <w:num w:numId="37">
    <w:abstractNumId w:val="8"/>
    <w:lvlOverride w:ilvl="0">
      <w:lvl w:ilvl="0">
        <w:start w:val="1"/>
        <w:numFmt w:val="decimal"/>
        <w:pStyle w:val="NumberedlistL1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pStyle w:val="NumberedlistL20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4"/>
    <w:rsid w:val="00002AD4"/>
    <w:rsid w:val="00014759"/>
    <w:rsid w:val="0002255A"/>
    <w:rsid w:val="00025473"/>
    <w:rsid w:val="00031528"/>
    <w:rsid w:val="00053206"/>
    <w:rsid w:val="000539A1"/>
    <w:rsid w:val="000552FF"/>
    <w:rsid w:val="00061C05"/>
    <w:rsid w:val="0007567B"/>
    <w:rsid w:val="00086374"/>
    <w:rsid w:val="0009068E"/>
    <w:rsid w:val="000911BB"/>
    <w:rsid w:val="00096302"/>
    <w:rsid w:val="000978F0"/>
    <w:rsid w:val="000A7B3F"/>
    <w:rsid w:val="000B1A52"/>
    <w:rsid w:val="000B222D"/>
    <w:rsid w:val="000B3612"/>
    <w:rsid w:val="000C17E6"/>
    <w:rsid w:val="000C4CDF"/>
    <w:rsid w:val="000C5B70"/>
    <w:rsid w:val="000C64D1"/>
    <w:rsid w:val="000D5A7D"/>
    <w:rsid w:val="000D6879"/>
    <w:rsid w:val="000E1300"/>
    <w:rsid w:val="00106E2F"/>
    <w:rsid w:val="00115655"/>
    <w:rsid w:val="00133694"/>
    <w:rsid w:val="001344ED"/>
    <w:rsid w:val="00140247"/>
    <w:rsid w:val="00141EA9"/>
    <w:rsid w:val="00146920"/>
    <w:rsid w:val="00152C03"/>
    <w:rsid w:val="00160E33"/>
    <w:rsid w:val="00174253"/>
    <w:rsid w:val="00175EAC"/>
    <w:rsid w:val="00180F53"/>
    <w:rsid w:val="0019046E"/>
    <w:rsid w:val="00190F73"/>
    <w:rsid w:val="00192D3D"/>
    <w:rsid w:val="001A1FD6"/>
    <w:rsid w:val="001A5ACC"/>
    <w:rsid w:val="001B17EC"/>
    <w:rsid w:val="001C3419"/>
    <w:rsid w:val="001C50D6"/>
    <w:rsid w:val="001C55A5"/>
    <w:rsid w:val="001C777F"/>
    <w:rsid w:val="001D0BA2"/>
    <w:rsid w:val="001D5247"/>
    <w:rsid w:val="001E72AB"/>
    <w:rsid w:val="001F659F"/>
    <w:rsid w:val="0020177B"/>
    <w:rsid w:val="002168A8"/>
    <w:rsid w:val="00231548"/>
    <w:rsid w:val="00266E1B"/>
    <w:rsid w:val="00266F75"/>
    <w:rsid w:val="00270B23"/>
    <w:rsid w:val="00272A6B"/>
    <w:rsid w:val="002866D2"/>
    <w:rsid w:val="002A46FA"/>
    <w:rsid w:val="002A7C22"/>
    <w:rsid w:val="002A7EBF"/>
    <w:rsid w:val="002B1BEE"/>
    <w:rsid w:val="002D027F"/>
    <w:rsid w:val="002D2430"/>
    <w:rsid w:val="002D5E50"/>
    <w:rsid w:val="002E151C"/>
    <w:rsid w:val="002E4C3A"/>
    <w:rsid w:val="00301777"/>
    <w:rsid w:val="00302B2C"/>
    <w:rsid w:val="00313667"/>
    <w:rsid w:val="0031373D"/>
    <w:rsid w:val="00314B12"/>
    <w:rsid w:val="003252AE"/>
    <w:rsid w:val="00327E19"/>
    <w:rsid w:val="00330C55"/>
    <w:rsid w:val="00331432"/>
    <w:rsid w:val="0033204C"/>
    <w:rsid w:val="00336F2E"/>
    <w:rsid w:val="00375ED2"/>
    <w:rsid w:val="003871BD"/>
    <w:rsid w:val="003A4D8F"/>
    <w:rsid w:val="003A7364"/>
    <w:rsid w:val="003B67A4"/>
    <w:rsid w:val="003B73EC"/>
    <w:rsid w:val="003C25F4"/>
    <w:rsid w:val="003C6283"/>
    <w:rsid w:val="003C6E97"/>
    <w:rsid w:val="003D0531"/>
    <w:rsid w:val="003D5807"/>
    <w:rsid w:val="003E7027"/>
    <w:rsid w:val="00404E05"/>
    <w:rsid w:val="00431DE1"/>
    <w:rsid w:val="00435FBA"/>
    <w:rsid w:val="0043617A"/>
    <w:rsid w:val="00446151"/>
    <w:rsid w:val="004462EF"/>
    <w:rsid w:val="004561F7"/>
    <w:rsid w:val="00466968"/>
    <w:rsid w:val="00470FAB"/>
    <w:rsid w:val="00487E72"/>
    <w:rsid w:val="00490BB1"/>
    <w:rsid w:val="004A3B36"/>
    <w:rsid w:val="004B4021"/>
    <w:rsid w:val="004C28C3"/>
    <w:rsid w:val="004C5AA5"/>
    <w:rsid w:val="004D5B35"/>
    <w:rsid w:val="004F35C3"/>
    <w:rsid w:val="0050402B"/>
    <w:rsid w:val="0050503C"/>
    <w:rsid w:val="00520B31"/>
    <w:rsid w:val="0053500D"/>
    <w:rsid w:val="0053709C"/>
    <w:rsid w:val="00540D99"/>
    <w:rsid w:val="005436DB"/>
    <w:rsid w:val="00544A2F"/>
    <w:rsid w:val="00555987"/>
    <w:rsid w:val="0058316E"/>
    <w:rsid w:val="00594ABE"/>
    <w:rsid w:val="005B4344"/>
    <w:rsid w:val="005E2BAB"/>
    <w:rsid w:val="005F3995"/>
    <w:rsid w:val="005F43E3"/>
    <w:rsid w:val="005F76B4"/>
    <w:rsid w:val="00603508"/>
    <w:rsid w:val="006035F8"/>
    <w:rsid w:val="006224BD"/>
    <w:rsid w:val="00655D7D"/>
    <w:rsid w:val="00657CCB"/>
    <w:rsid w:val="00667A8D"/>
    <w:rsid w:val="00690154"/>
    <w:rsid w:val="00692755"/>
    <w:rsid w:val="006A6989"/>
    <w:rsid w:val="006C5B44"/>
    <w:rsid w:val="006D4079"/>
    <w:rsid w:val="006F1E42"/>
    <w:rsid w:val="00706A43"/>
    <w:rsid w:val="0071488E"/>
    <w:rsid w:val="00720D9D"/>
    <w:rsid w:val="007337BF"/>
    <w:rsid w:val="00735C67"/>
    <w:rsid w:val="007374D2"/>
    <w:rsid w:val="0074552D"/>
    <w:rsid w:val="00746AB3"/>
    <w:rsid w:val="0074706C"/>
    <w:rsid w:val="0075034A"/>
    <w:rsid w:val="0075144B"/>
    <w:rsid w:val="007675C0"/>
    <w:rsid w:val="00775368"/>
    <w:rsid w:val="0078490A"/>
    <w:rsid w:val="0079051A"/>
    <w:rsid w:val="00797F94"/>
    <w:rsid w:val="007A0F2A"/>
    <w:rsid w:val="007A5916"/>
    <w:rsid w:val="007B0B0C"/>
    <w:rsid w:val="007B2C52"/>
    <w:rsid w:val="007B593B"/>
    <w:rsid w:val="007C2CE2"/>
    <w:rsid w:val="007D0A3E"/>
    <w:rsid w:val="007D2922"/>
    <w:rsid w:val="007E04B2"/>
    <w:rsid w:val="007E2C72"/>
    <w:rsid w:val="007E357A"/>
    <w:rsid w:val="007E6C24"/>
    <w:rsid w:val="007F1313"/>
    <w:rsid w:val="00815BE4"/>
    <w:rsid w:val="00824B25"/>
    <w:rsid w:val="0083250F"/>
    <w:rsid w:val="00841924"/>
    <w:rsid w:val="00861FF2"/>
    <w:rsid w:val="008620A8"/>
    <w:rsid w:val="00863505"/>
    <w:rsid w:val="00876315"/>
    <w:rsid w:val="00877FDB"/>
    <w:rsid w:val="0088388C"/>
    <w:rsid w:val="00886B0F"/>
    <w:rsid w:val="00886E7D"/>
    <w:rsid w:val="00887183"/>
    <w:rsid w:val="008A43CF"/>
    <w:rsid w:val="008D480D"/>
    <w:rsid w:val="008E02E3"/>
    <w:rsid w:val="008E26E7"/>
    <w:rsid w:val="008E739F"/>
    <w:rsid w:val="008F1768"/>
    <w:rsid w:val="009051A2"/>
    <w:rsid w:val="00905B86"/>
    <w:rsid w:val="009174A3"/>
    <w:rsid w:val="00924D54"/>
    <w:rsid w:val="00944328"/>
    <w:rsid w:val="009579E1"/>
    <w:rsid w:val="00971599"/>
    <w:rsid w:val="00980F93"/>
    <w:rsid w:val="009913D3"/>
    <w:rsid w:val="009B7855"/>
    <w:rsid w:val="009C1548"/>
    <w:rsid w:val="009D4AA8"/>
    <w:rsid w:val="009D4C65"/>
    <w:rsid w:val="009E4D7D"/>
    <w:rsid w:val="009E67BA"/>
    <w:rsid w:val="009F4BA6"/>
    <w:rsid w:val="00A01180"/>
    <w:rsid w:val="00A046E8"/>
    <w:rsid w:val="00A12A37"/>
    <w:rsid w:val="00A16F2A"/>
    <w:rsid w:val="00A237B6"/>
    <w:rsid w:val="00A36C4B"/>
    <w:rsid w:val="00A64C6A"/>
    <w:rsid w:val="00A70884"/>
    <w:rsid w:val="00A765D0"/>
    <w:rsid w:val="00AA7D99"/>
    <w:rsid w:val="00AB5542"/>
    <w:rsid w:val="00AC4CB8"/>
    <w:rsid w:val="00AC6B69"/>
    <w:rsid w:val="00AD115B"/>
    <w:rsid w:val="00AD14A6"/>
    <w:rsid w:val="00AD59B4"/>
    <w:rsid w:val="00AD75B1"/>
    <w:rsid w:val="00AE0029"/>
    <w:rsid w:val="00AE40A6"/>
    <w:rsid w:val="00B02D6F"/>
    <w:rsid w:val="00B21F44"/>
    <w:rsid w:val="00B2239C"/>
    <w:rsid w:val="00B228EA"/>
    <w:rsid w:val="00B22B8C"/>
    <w:rsid w:val="00B5323F"/>
    <w:rsid w:val="00B57F2D"/>
    <w:rsid w:val="00B64D3B"/>
    <w:rsid w:val="00B66A53"/>
    <w:rsid w:val="00B71CC2"/>
    <w:rsid w:val="00B735CC"/>
    <w:rsid w:val="00B85481"/>
    <w:rsid w:val="00BA588B"/>
    <w:rsid w:val="00BB6CCC"/>
    <w:rsid w:val="00BF1BA6"/>
    <w:rsid w:val="00C0373E"/>
    <w:rsid w:val="00C2798F"/>
    <w:rsid w:val="00C372E1"/>
    <w:rsid w:val="00C41888"/>
    <w:rsid w:val="00C43BBF"/>
    <w:rsid w:val="00C67169"/>
    <w:rsid w:val="00C74F43"/>
    <w:rsid w:val="00C816CD"/>
    <w:rsid w:val="00C843B7"/>
    <w:rsid w:val="00C96CEA"/>
    <w:rsid w:val="00CA2958"/>
    <w:rsid w:val="00CB396D"/>
    <w:rsid w:val="00CB6795"/>
    <w:rsid w:val="00CC02D3"/>
    <w:rsid w:val="00CE36D0"/>
    <w:rsid w:val="00CE757C"/>
    <w:rsid w:val="00CF0B1F"/>
    <w:rsid w:val="00D01066"/>
    <w:rsid w:val="00D01D3B"/>
    <w:rsid w:val="00D35369"/>
    <w:rsid w:val="00D35BED"/>
    <w:rsid w:val="00D365E9"/>
    <w:rsid w:val="00D4149F"/>
    <w:rsid w:val="00D417BE"/>
    <w:rsid w:val="00D515CF"/>
    <w:rsid w:val="00D52FBE"/>
    <w:rsid w:val="00D573F8"/>
    <w:rsid w:val="00D600C0"/>
    <w:rsid w:val="00D6013C"/>
    <w:rsid w:val="00D621EE"/>
    <w:rsid w:val="00D6300B"/>
    <w:rsid w:val="00D64718"/>
    <w:rsid w:val="00D67AE4"/>
    <w:rsid w:val="00D840BA"/>
    <w:rsid w:val="00D847B3"/>
    <w:rsid w:val="00D84F90"/>
    <w:rsid w:val="00D92438"/>
    <w:rsid w:val="00D933C7"/>
    <w:rsid w:val="00DB6352"/>
    <w:rsid w:val="00DB764A"/>
    <w:rsid w:val="00DD5119"/>
    <w:rsid w:val="00DD73C0"/>
    <w:rsid w:val="00DF2212"/>
    <w:rsid w:val="00DF2B48"/>
    <w:rsid w:val="00DF2BF6"/>
    <w:rsid w:val="00E0259C"/>
    <w:rsid w:val="00E1564B"/>
    <w:rsid w:val="00E167BE"/>
    <w:rsid w:val="00E200ED"/>
    <w:rsid w:val="00E218A3"/>
    <w:rsid w:val="00E22DAB"/>
    <w:rsid w:val="00E27EB8"/>
    <w:rsid w:val="00E4009C"/>
    <w:rsid w:val="00E40136"/>
    <w:rsid w:val="00E43807"/>
    <w:rsid w:val="00E44CD4"/>
    <w:rsid w:val="00E46319"/>
    <w:rsid w:val="00E53A74"/>
    <w:rsid w:val="00E60654"/>
    <w:rsid w:val="00E63AE9"/>
    <w:rsid w:val="00E65A44"/>
    <w:rsid w:val="00E77A4D"/>
    <w:rsid w:val="00E856AA"/>
    <w:rsid w:val="00E86457"/>
    <w:rsid w:val="00E952CC"/>
    <w:rsid w:val="00EA18F1"/>
    <w:rsid w:val="00EC3F6C"/>
    <w:rsid w:val="00ED7C48"/>
    <w:rsid w:val="00F119B4"/>
    <w:rsid w:val="00F126CE"/>
    <w:rsid w:val="00F27876"/>
    <w:rsid w:val="00F37541"/>
    <w:rsid w:val="00F40845"/>
    <w:rsid w:val="00F41242"/>
    <w:rsid w:val="00F52F1F"/>
    <w:rsid w:val="00F537DC"/>
    <w:rsid w:val="00F55C6C"/>
    <w:rsid w:val="00F60BE2"/>
    <w:rsid w:val="00F6636E"/>
    <w:rsid w:val="00F706DD"/>
    <w:rsid w:val="00F742E2"/>
    <w:rsid w:val="00F91DB6"/>
    <w:rsid w:val="00FA08CA"/>
    <w:rsid w:val="00FA66E2"/>
    <w:rsid w:val="00FB1056"/>
    <w:rsid w:val="00FB7394"/>
    <w:rsid w:val="00FC006C"/>
    <w:rsid w:val="00FC536A"/>
    <w:rsid w:val="00FD7466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451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41"/>
  </w:style>
  <w:style w:type="paragraph" w:styleId="1">
    <w:name w:val="heading 1"/>
    <w:basedOn w:val="a"/>
    <w:next w:val="a"/>
    <w:link w:val="10"/>
    <w:uiPriority w:val="9"/>
    <w:qFormat/>
    <w:rsid w:val="00657CCB"/>
    <w:pPr>
      <w:keepNext/>
      <w:keepLines/>
      <w:numPr>
        <w:numId w:val="35"/>
      </w:numPr>
      <w:spacing w:before="240" w:after="240" w:line="360" w:lineRule="auto"/>
      <w:ind w:left="567" w:hanging="567"/>
      <w:outlineLvl w:val="0"/>
    </w:pPr>
    <w:rPr>
      <w:rFonts w:ascii="Times New Roman" w:hAnsi="Times New Roman" w:cs="Times New Roman"/>
      <w:bCs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0E33"/>
    <w:pPr>
      <w:keepNext/>
      <w:keepLines/>
      <w:numPr>
        <w:numId w:val="6"/>
      </w:numPr>
      <w:spacing w:before="240" w:after="240" w:line="360" w:lineRule="auto"/>
      <w:ind w:left="567" w:hanging="567"/>
      <w:outlineLvl w:val="1"/>
    </w:pPr>
    <w:rPr>
      <w:rFonts w:ascii="Times New Roman" w:hAnsi="Times New Roman" w:cs="Times New Roman"/>
      <w:i/>
      <w:sz w:val="24"/>
      <w:szCs w:val="24"/>
      <w:lang w:val="ru-RU"/>
    </w:rPr>
  </w:style>
  <w:style w:type="paragraph" w:styleId="3">
    <w:name w:val="heading 3"/>
    <w:basedOn w:val="2"/>
    <w:next w:val="a"/>
    <w:link w:val="30"/>
    <w:uiPriority w:val="9"/>
    <w:unhideWhenUsed/>
    <w:qFormat/>
    <w:rsid w:val="00160E33"/>
    <w:pPr>
      <w:numPr>
        <w:ilvl w:val="1"/>
      </w:numPr>
      <w:ind w:left="567" w:hanging="567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620A8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C5B70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semiHidden/>
    <w:unhideWhenUsed/>
    <w:rsid w:val="000C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7CCB"/>
    <w:rPr>
      <w:rFonts w:ascii="Times New Roman" w:hAnsi="Times New Roman" w:cs="Times New Roman"/>
      <w:bCs/>
      <w:cap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0E33"/>
    <w:rPr>
      <w:rFonts w:ascii="Times New Roman" w:hAnsi="Times New Roman" w:cs="Times New Roman"/>
      <w:i/>
      <w:sz w:val="24"/>
      <w:szCs w:val="24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0D5A7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41EA9"/>
    <w:pPr>
      <w:tabs>
        <w:tab w:val="left" w:pos="672"/>
        <w:tab w:val="right" w:leader="dot" w:pos="9350"/>
      </w:tabs>
      <w:spacing w:after="100"/>
    </w:pPr>
  </w:style>
  <w:style w:type="character" w:styleId="a8">
    <w:name w:val="Hyperlink"/>
    <w:basedOn w:val="a0"/>
    <w:uiPriority w:val="99"/>
    <w:unhideWhenUsed/>
    <w:rsid w:val="000D5A7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60E33"/>
    <w:rPr>
      <w:rFonts w:ascii="Times New Roman" w:hAnsi="Times New Roman" w:cs="Times New Roman"/>
      <w:i/>
      <w:sz w:val="24"/>
      <w:szCs w:val="24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04E0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04E05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5F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3E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017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177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17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1777"/>
  </w:style>
  <w:style w:type="paragraph" w:styleId="af0">
    <w:name w:val="footer"/>
    <w:basedOn w:val="a"/>
    <w:link w:val="af1"/>
    <w:uiPriority w:val="99"/>
    <w:unhideWhenUsed/>
    <w:rsid w:val="00301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1777"/>
  </w:style>
  <w:style w:type="character" w:customStyle="1" w:styleId="40">
    <w:name w:val="Заголовок 4 Знак"/>
    <w:basedOn w:val="a0"/>
    <w:link w:val="4"/>
    <w:uiPriority w:val="9"/>
    <w:rsid w:val="008620A8"/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paragraph" w:styleId="41">
    <w:name w:val="toc 4"/>
    <w:basedOn w:val="a"/>
    <w:next w:val="a"/>
    <w:autoRedefine/>
    <w:uiPriority w:val="39"/>
    <w:unhideWhenUsed/>
    <w:rsid w:val="000A7B3F"/>
    <w:pPr>
      <w:tabs>
        <w:tab w:val="right" w:leader="dot" w:pos="9016"/>
      </w:tabs>
      <w:spacing w:after="100"/>
      <w:ind w:left="660"/>
    </w:pPr>
  </w:style>
  <w:style w:type="character" w:styleId="af2">
    <w:name w:val="annotation reference"/>
    <w:basedOn w:val="a0"/>
    <w:uiPriority w:val="99"/>
    <w:semiHidden/>
    <w:unhideWhenUsed/>
    <w:rsid w:val="00A765D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5D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65D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5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5D0"/>
    <w:rPr>
      <w:b/>
      <w:bCs/>
      <w:sz w:val="20"/>
      <w:szCs w:val="20"/>
    </w:rPr>
  </w:style>
  <w:style w:type="table" w:styleId="af7">
    <w:name w:val="Table Grid"/>
    <w:basedOn w:val="a1"/>
    <w:uiPriority w:val="39"/>
    <w:rsid w:val="006F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0A7B3F"/>
    <w:pPr>
      <w:spacing w:after="0" w:line="240" w:lineRule="auto"/>
    </w:pPr>
  </w:style>
  <w:style w:type="paragraph" w:customStyle="1" w:styleId="bullets">
    <w:name w:val="bullets"/>
    <w:basedOn w:val="a"/>
    <w:qFormat/>
    <w:rsid w:val="000552FF"/>
    <w:pPr>
      <w:numPr>
        <w:numId w:val="25"/>
      </w:numPr>
      <w:spacing w:before="120" w:after="120" w:line="36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Bullets2">
    <w:name w:val="Bullets 2"/>
    <w:basedOn w:val="bullets"/>
    <w:qFormat/>
    <w:rsid w:val="000552FF"/>
    <w:pPr>
      <w:numPr>
        <w:ilvl w:val="1"/>
        <w:numId w:val="34"/>
      </w:numPr>
      <w:ind w:left="1134" w:hanging="567"/>
    </w:pPr>
  </w:style>
  <w:style w:type="paragraph" w:customStyle="1" w:styleId="NumberedlistL1">
    <w:name w:val="Numbered_list_L1"/>
    <w:basedOn w:val="a3"/>
    <w:qFormat/>
    <w:rsid w:val="00C372E1"/>
    <w:pPr>
      <w:numPr>
        <w:numId w:val="37"/>
      </w:numPr>
      <w:tabs>
        <w:tab w:val="num" w:pos="360"/>
      </w:tabs>
      <w:spacing w:before="120" w:after="120" w:line="360" w:lineRule="auto"/>
      <w:ind w:left="720" w:firstLine="0"/>
      <w:contextualSpacing w:val="0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NumberedlistL20">
    <w:name w:val="Numbered_list_L2"/>
    <w:basedOn w:val="NumberedlistL1"/>
    <w:rsid w:val="00C372E1"/>
    <w:pPr>
      <w:numPr>
        <w:ilvl w:val="1"/>
      </w:numPr>
      <w:tabs>
        <w:tab w:val="num" w:pos="360"/>
      </w:tabs>
    </w:pPr>
  </w:style>
  <w:style w:type="paragraph" w:customStyle="1" w:styleId="Numberedlistl2">
    <w:name w:val="Numbered_list_l2"/>
    <w:basedOn w:val="a"/>
    <w:qFormat/>
    <w:rsid w:val="00C372E1"/>
    <w:pPr>
      <w:numPr>
        <w:numId w:val="38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numbering" w:customStyle="1" w:styleId="ImportedStyle82">
    <w:name w:val="Imported Style 82"/>
    <w:rsid w:val="00C372E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41"/>
  </w:style>
  <w:style w:type="paragraph" w:styleId="1">
    <w:name w:val="heading 1"/>
    <w:basedOn w:val="a"/>
    <w:next w:val="a"/>
    <w:link w:val="10"/>
    <w:uiPriority w:val="9"/>
    <w:qFormat/>
    <w:rsid w:val="00657CCB"/>
    <w:pPr>
      <w:keepNext/>
      <w:keepLines/>
      <w:numPr>
        <w:numId w:val="35"/>
      </w:numPr>
      <w:spacing w:before="240" w:after="240" w:line="360" w:lineRule="auto"/>
      <w:ind w:left="567" w:hanging="567"/>
      <w:outlineLvl w:val="0"/>
    </w:pPr>
    <w:rPr>
      <w:rFonts w:ascii="Times New Roman" w:hAnsi="Times New Roman" w:cs="Times New Roman"/>
      <w:bCs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0E33"/>
    <w:pPr>
      <w:keepNext/>
      <w:keepLines/>
      <w:numPr>
        <w:numId w:val="6"/>
      </w:numPr>
      <w:spacing w:before="240" w:after="240" w:line="360" w:lineRule="auto"/>
      <w:ind w:left="567" w:hanging="567"/>
      <w:outlineLvl w:val="1"/>
    </w:pPr>
    <w:rPr>
      <w:rFonts w:ascii="Times New Roman" w:hAnsi="Times New Roman" w:cs="Times New Roman"/>
      <w:i/>
      <w:sz w:val="24"/>
      <w:szCs w:val="24"/>
      <w:lang w:val="ru-RU"/>
    </w:rPr>
  </w:style>
  <w:style w:type="paragraph" w:styleId="3">
    <w:name w:val="heading 3"/>
    <w:basedOn w:val="2"/>
    <w:next w:val="a"/>
    <w:link w:val="30"/>
    <w:uiPriority w:val="9"/>
    <w:unhideWhenUsed/>
    <w:qFormat/>
    <w:rsid w:val="00160E33"/>
    <w:pPr>
      <w:numPr>
        <w:ilvl w:val="1"/>
      </w:numPr>
      <w:ind w:left="567" w:hanging="567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620A8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C5B70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semiHidden/>
    <w:unhideWhenUsed/>
    <w:rsid w:val="000C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7CCB"/>
    <w:rPr>
      <w:rFonts w:ascii="Times New Roman" w:hAnsi="Times New Roman" w:cs="Times New Roman"/>
      <w:bCs/>
      <w:cap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0E33"/>
    <w:rPr>
      <w:rFonts w:ascii="Times New Roman" w:hAnsi="Times New Roman" w:cs="Times New Roman"/>
      <w:i/>
      <w:sz w:val="24"/>
      <w:szCs w:val="24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0D5A7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41EA9"/>
    <w:pPr>
      <w:tabs>
        <w:tab w:val="left" w:pos="672"/>
        <w:tab w:val="right" w:leader="dot" w:pos="9350"/>
      </w:tabs>
      <w:spacing w:after="100"/>
    </w:pPr>
  </w:style>
  <w:style w:type="character" w:styleId="a8">
    <w:name w:val="Hyperlink"/>
    <w:basedOn w:val="a0"/>
    <w:uiPriority w:val="99"/>
    <w:unhideWhenUsed/>
    <w:rsid w:val="000D5A7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60E33"/>
    <w:rPr>
      <w:rFonts w:ascii="Times New Roman" w:hAnsi="Times New Roman" w:cs="Times New Roman"/>
      <w:i/>
      <w:sz w:val="24"/>
      <w:szCs w:val="24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04E0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04E05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5F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3E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017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177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17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1777"/>
  </w:style>
  <w:style w:type="paragraph" w:styleId="af0">
    <w:name w:val="footer"/>
    <w:basedOn w:val="a"/>
    <w:link w:val="af1"/>
    <w:uiPriority w:val="99"/>
    <w:unhideWhenUsed/>
    <w:rsid w:val="00301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1777"/>
  </w:style>
  <w:style w:type="character" w:customStyle="1" w:styleId="40">
    <w:name w:val="Заголовок 4 Знак"/>
    <w:basedOn w:val="a0"/>
    <w:link w:val="4"/>
    <w:uiPriority w:val="9"/>
    <w:rsid w:val="008620A8"/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paragraph" w:styleId="41">
    <w:name w:val="toc 4"/>
    <w:basedOn w:val="a"/>
    <w:next w:val="a"/>
    <w:autoRedefine/>
    <w:uiPriority w:val="39"/>
    <w:unhideWhenUsed/>
    <w:rsid w:val="000A7B3F"/>
    <w:pPr>
      <w:tabs>
        <w:tab w:val="right" w:leader="dot" w:pos="9016"/>
      </w:tabs>
      <w:spacing w:after="100"/>
      <w:ind w:left="660"/>
    </w:pPr>
  </w:style>
  <w:style w:type="character" w:styleId="af2">
    <w:name w:val="annotation reference"/>
    <w:basedOn w:val="a0"/>
    <w:uiPriority w:val="99"/>
    <w:semiHidden/>
    <w:unhideWhenUsed/>
    <w:rsid w:val="00A765D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5D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65D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5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5D0"/>
    <w:rPr>
      <w:b/>
      <w:bCs/>
      <w:sz w:val="20"/>
      <w:szCs w:val="20"/>
    </w:rPr>
  </w:style>
  <w:style w:type="table" w:styleId="af7">
    <w:name w:val="Table Grid"/>
    <w:basedOn w:val="a1"/>
    <w:uiPriority w:val="39"/>
    <w:rsid w:val="006F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0A7B3F"/>
    <w:pPr>
      <w:spacing w:after="0" w:line="240" w:lineRule="auto"/>
    </w:pPr>
  </w:style>
  <w:style w:type="paragraph" w:customStyle="1" w:styleId="bullets">
    <w:name w:val="bullets"/>
    <w:basedOn w:val="a"/>
    <w:qFormat/>
    <w:rsid w:val="000552FF"/>
    <w:pPr>
      <w:numPr>
        <w:numId w:val="25"/>
      </w:numPr>
      <w:spacing w:before="120" w:after="120" w:line="36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Bullets2">
    <w:name w:val="Bullets 2"/>
    <w:basedOn w:val="bullets"/>
    <w:qFormat/>
    <w:rsid w:val="000552FF"/>
    <w:pPr>
      <w:numPr>
        <w:ilvl w:val="1"/>
        <w:numId w:val="34"/>
      </w:numPr>
      <w:ind w:left="1134" w:hanging="567"/>
    </w:pPr>
  </w:style>
  <w:style w:type="paragraph" w:customStyle="1" w:styleId="NumberedlistL1">
    <w:name w:val="Numbered_list_L1"/>
    <w:basedOn w:val="a3"/>
    <w:qFormat/>
    <w:rsid w:val="00C372E1"/>
    <w:pPr>
      <w:numPr>
        <w:numId w:val="37"/>
      </w:numPr>
      <w:tabs>
        <w:tab w:val="num" w:pos="360"/>
      </w:tabs>
      <w:spacing w:before="120" w:after="120" w:line="360" w:lineRule="auto"/>
      <w:ind w:left="720" w:firstLine="0"/>
      <w:contextualSpacing w:val="0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NumberedlistL20">
    <w:name w:val="Numbered_list_L2"/>
    <w:basedOn w:val="NumberedlistL1"/>
    <w:rsid w:val="00C372E1"/>
    <w:pPr>
      <w:numPr>
        <w:ilvl w:val="1"/>
      </w:numPr>
      <w:tabs>
        <w:tab w:val="num" w:pos="360"/>
      </w:tabs>
    </w:pPr>
  </w:style>
  <w:style w:type="paragraph" w:customStyle="1" w:styleId="Numberedlistl2">
    <w:name w:val="Numbered_list_l2"/>
    <w:basedOn w:val="a"/>
    <w:qFormat/>
    <w:rsid w:val="00C372E1"/>
    <w:pPr>
      <w:numPr>
        <w:numId w:val="38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numbering" w:customStyle="1" w:styleId="ImportedStyle82">
    <w:name w:val="Imported Style 82"/>
    <w:rsid w:val="00C372E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9418-0FFE-46C0-AF14-6689151F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2237</Words>
  <Characters>12756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2018-10-22T14:27:00Z</dcterms:created>
  <dcterms:modified xsi:type="dcterms:W3CDTF">2018-10-24T10:24:00Z</dcterms:modified>
</cp:coreProperties>
</file>